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009BC" w14:textId="77777777" w:rsidR="00F96445" w:rsidRDefault="00F96445" w:rsidP="00F96445">
      <w:pPr>
        <w:jc w:val="center"/>
        <w:rPr>
          <w:rFonts w:ascii="Arial" w:hAnsi="Arial" w:cs="Arial"/>
          <w:b/>
          <w:sz w:val="20"/>
          <w:szCs w:val="20"/>
        </w:rPr>
      </w:pPr>
      <w:r w:rsidRPr="00B03069">
        <w:rPr>
          <w:rFonts w:ascii="Arial" w:hAnsi="Arial" w:cs="Arial"/>
          <w:b/>
          <w:sz w:val="20"/>
          <w:szCs w:val="20"/>
        </w:rPr>
        <w:t>Документация о проведении конкурсного отбора</w:t>
      </w:r>
      <w:r>
        <w:rPr>
          <w:rFonts w:ascii="Arial" w:hAnsi="Arial" w:cs="Arial"/>
          <w:b/>
          <w:sz w:val="20"/>
          <w:szCs w:val="20"/>
        </w:rPr>
        <w:t xml:space="preserve"> (тендера)</w:t>
      </w: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439"/>
        <w:gridCol w:w="2964"/>
        <w:gridCol w:w="6804"/>
      </w:tblGrid>
      <w:tr w:rsidR="00F96445" w:rsidRPr="0028275F" w14:paraId="13C4364B" w14:textId="77777777" w:rsidTr="00C46144">
        <w:trPr>
          <w:trHeight w:val="438"/>
        </w:trPr>
        <w:tc>
          <w:tcPr>
            <w:tcW w:w="439" w:type="dxa"/>
          </w:tcPr>
          <w:p w14:paraId="204260F1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4" w:type="dxa"/>
          </w:tcPr>
          <w:p w14:paraId="2D8DC9C1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6804" w:type="dxa"/>
          </w:tcPr>
          <w:p w14:paraId="3381C08A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Акционерное общество «Экспобанк»</w:t>
            </w:r>
          </w:p>
        </w:tc>
      </w:tr>
      <w:tr w:rsidR="00F96445" w:rsidRPr="0028275F" w14:paraId="34E5C49B" w14:textId="77777777" w:rsidTr="00C46144">
        <w:tc>
          <w:tcPr>
            <w:tcW w:w="439" w:type="dxa"/>
          </w:tcPr>
          <w:p w14:paraId="69638BA6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4" w:type="dxa"/>
          </w:tcPr>
          <w:p w14:paraId="2AF1462F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Место нахождения и почтовый адрес Заказчика</w:t>
            </w:r>
          </w:p>
        </w:tc>
        <w:tc>
          <w:tcPr>
            <w:tcW w:w="6804" w:type="dxa"/>
          </w:tcPr>
          <w:p w14:paraId="051E3B9D" w14:textId="3906A360" w:rsidR="00F96445" w:rsidRPr="00D14631" w:rsidRDefault="00F96445" w:rsidP="00C461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4631">
              <w:rPr>
                <w:rFonts w:ascii="Arial" w:hAnsi="Arial" w:cs="Arial"/>
                <w:sz w:val="20"/>
                <w:szCs w:val="20"/>
              </w:rPr>
              <w:t>1150</w:t>
            </w:r>
            <w:r w:rsidR="00EC12E6">
              <w:rPr>
                <w:rFonts w:ascii="Arial" w:hAnsi="Arial" w:cs="Arial"/>
                <w:sz w:val="20"/>
                <w:szCs w:val="20"/>
              </w:rPr>
              <w:t>54</w:t>
            </w:r>
            <w:r w:rsidRPr="00D14631">
              <w:rPr>
                <w:rFonts w:ascii="Arial" w:hAnsi="Arial" w:cs="Arial"/>
                <w:sz w:val="20"/>
                <w:szCs w:val="20"/>
              </w:rPr>
              <w:t xml:space="preserve">, г. Москва, Космодамианская наб., д. 52, стр. 7 </w:t>
            </w:r>
          </w:p>
          <w:p w14:paraId="73E1B4E6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45" w:rsidRPr="0028275F" w14:paraId="63F654AE" w14:textId="77777777" w:rsidTr="00C46144">
        <w:tc>
          <w:tcPr>
            <w:tcW w:w="439" w:type="dxa"/>
          </w:tcPr>
          <w:p w14:paraId="6DB43B42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4" w:type="dxa"/>
          </w:tcPr>
          <w:p w14:paraId="365241B9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ФИО, адрес электронной почты, номер телефона контактного лица</w:t>
            </w:r>
          </w:p>
        </w:tc>
        <w:tc>
          <w:tcPr>
            <w:tcW w:w="6804" w:type="dxa"/>
          </w:tcPr>
          <w:p w14:paraId="5AB227E0" w14:textId="77777777" w:rsidR="00A860FA" w:rsidRDefault="00A860FA" w:rsidP="00A8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Джола Марина Александровна</w:t>
            </w:r>
          </w:p>
          <w:p w14:paraId="7FB09F80" w14:textId="06A5F3E1" w:rsidR="00A860FA" w:rsidRDefault="00FA7B96" w:rsidP="00A860FA">
            <w:pP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A860FA">
                <w:rPr>
                  <w:rStyle w:val="a5"/>
                </w:rPr>
                <w:t>M.Dzhola@expobank.ru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A860F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A860FA">
                <w:rPr>
                  <w:rStyle w:val="a5"/>
                </w:rPr>
                <w:t>zakupki@expobank.ru</w:t>
              </w:r>
            </w:hyperlink>
          </w:p>
          <w:p w14:paraId="49C6A009" w14:textId="7D8C6449" w:rsidR="00F96445" w:rsidRPr="0028275F" w:rsidRDefault="00A860FA" w:rsidP="00C46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+7(495)620-94-95 доб. 4660</w:t>
            </w:r>
          </w:p>
        </w:tc>
      </w:tr>
      <w:tr w:rsidR="00F96445" w:rsidRPr="0028275F" w14:paraId="3367C6BF" w14:textId="77777777" w:rsidTr="00C46144">
        <w:tc>
          <w:tcPr>
            <w:tcW w:w="439" w:type="dxa"/>
          </w:tcPr>
          <w:p w14:paraId="7C1B8820" w14:textId="77777777" w:rsidR="00F96445" w:rsidRPr="0028275F" w:rsidRDefault="00F96445" w:rsidP="00F96445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64" w:type="dxa"/>
          </w:tcPr>
          <w:p w14:paraId="47422990" w14:textId="77777777" w:rsidR="00F96445" w:rsidRPr="00CF098A" w:rsidRDefault="00F96445" w:rsidP="00F96445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F098A">
              <w:rPr>
                <w:rFonts w:ascii="Arial" w:hAnsi="Arial" w:cs="Arial"/>
                <w:b/>
                <w:sz w:val="20"/>
                <w:szCs w:val="20"/>
              </w:rPr>
              <w:t>Предмет договора,</w:t>
            </w:r>
          </w:p>
          <w:p w14:paraId="50414F8E" w14:textId="77777777" w:rsidR="00F96445" w:rsidRPr="00CF098A" w:rsidRDefault="00F96445" w:rsidP="00F964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98A">
              <w:rPr>
                <w:rFonts w:ascii="Arial" w:hAnsi="Arial" w:cs="Arial"/>
                <w:b/>
                <w:sz w:val="20"/>
                <w:szCs w:val="20"/>
              </w:rPr>
              <w:t>краткое описание предмета закупки</w:t>
            </w:r>
          </w:p>
        </w:tc>
        <w:tc>
          <w:tcPr>
            <w:tcW w:w="6804" w:type="dxa"/>
          </w:tcPr>
          <w:p w14:paraId="69C4A389" w14:textId="39D9A659" w:rsidR="00A860FA" w:rsidRPr="00A860FA" w:rsidRDefault="00F96445" w:rsidP="00A860F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25C8">
              <w:rPr>
                <w:rFonts w:ascii="Arial" w:hAnsi="Arial" w:cs="Arial"/>
                <w:sz w:val="20"/>
                <w:szCs w:val="20"/>
              </w:rPr>
              <w:t xml:space="preserve">Оказание услуг </w:t>
            </w:r>
            <w:bookmarkStart w:id="0" w:name="_Hlk116460459"/>
            <w:r w:rsidR="00A860FA" w:rsidRPr="00A860FA">
              <w:rPr>
                <w:rFonts w:ascii="Arial" w:hAnsi="Arial" w:cs="Arial"/>
                <w:sz w:val="20"/>
                <w:szCs w:val="20"/>
              </w:rPr>
              <w:t xml:space="preserve">по тестированию </w:t>
            </w:r>
            <w:bookmarkEnd w:id="0"/>
            <w:r w:rsidR="00A860FA" w:rsidRPr="00A860FA">
              <w:rPr>
                <w:rFonts w:ascii="Arial" w:hAnsi="Arial" w:cs="Arial"/>
                <w:sz w:val="20"/>
                <w:szCs w:val="20"/>
              </w:rPr>
              <w:t>инфраструктуры АО «Экспобанк»</w:t>
            </w:r>
          </w:p>
          <w:p w14:paraId="7495D70B" w14:textId="1DF313CC" w:rsidR="00F96445" w:rsidRPr="00CF098A" w:rsidRDefault="00F96445" w:rsidP="00A8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45" w:rsidRPr="0028275F" w14:paraId="5E2573AA" w14:textId="77777777" w:rsidTr="00C46144">
        <w:tc>
          <w:tcPr>
            <w:tcW w:w="439" w:type="dxa"/>
          </w:tcPr>
          <w:p w14:paraId="2F4049B5" w14:textId="77777777" w:rsidR="00F96445" w:rsidRPr="0028275F" w:rsidRDefault="00F96445" w:rsidP="00F96445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64" w:type="dxa"/>
          </w:tcPr>
          <w:p w14:paraId="505860B2" w14:textId="77777777" w:rsidR="00F96445" w:rsidRPr="00CF098A" w:rsidRDefault="00F96445" w:rsidP="00F964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98A">
              <w:rPr>
                <w:rFonts w:ascii="Arial" w:hAnsi="Arial" w:cs="Arial"/>
                <w:b/>
                <w:sz w:val="20"/>
                <w:szCs w:val="20"/>
              </w:rPr>
              <w:t>Количество закупаемой продукции (количество поставляемого товара)</w:t>
            </w:r>
          </w:p>
        </w:tc>
        <w:tc>
          <w:tcPr>
            <w:tcW w:w="6804" w:type="dxa"/>
          </w:tcPr>
          <w:p w14:paraId="748D63CD" w14:textId="77777777" w:rsidR="00F96445" w:rsidRPr="00CF098A" w:rsidRDefault="00F96445" w:rsidP="00F96445">
            <w:pPr>
              <w:rPr>
                <w:rFonts w:ascii="Arial" w:hAnsi="Arial" w:cs="Arial"/>
                <w:sz w:val="20"/>
                <w:szCs w:val="20"/>
              </w:rPr>
            </w:pPr>
            <w:r w:rsidRPr="00CF098A">
              <w:rPr>
                <w:rFonts w:ascii="Arial" w:hAnsi="Arial" w:cs="Arial"/>
                <w:sz w:val="20"/>
                <w:szCs w:val="20"/>
              </w:rPr>
              <w:t>Согласно Тендерного задания (Приложение 3).</w:t>
            </w:r>
          </w:p>
          <w:p w14:paraId="4C6F1FD8" w14:textId="77777777" w:rsidR="00F96445" w:rsidRPr="00CF098A" w:rsidRDefault="00F96445" w:rsidP="00F9644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F96445" w:rsidRPr="0028275F" w14:paraId="66D4F38E" w14:textId="77777777" w:rsidTr="00C46144">
        <w:tc>
          <w:tcPr>
            <w:tcW w:w="439" w:type="dxa"/>
          </w:tcPr>
          <w:p w14:paraId="5DD32490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64" w:type="dxa"/>
          </w:tcPr>
          <w:p w14:paraId="082E800F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Валюта</w:t>
            </w:r>
          </w:p>
        </w:tc>
        <w:tc>
          <w:tcPr>
            <w:tcW w:w="6804" w:type="dxa"/>
          </w:tcPr>
          <w:p w14:paraId="7AF36775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Российский рубль</w:t>
            </w:r>
          </w:p>
        </w:tc>
      </w:tr>
      <w:tr w:rsidR="00F96445" w:rsidRPr="0028275F" w14:paraId="0354D148" w14:textId="77777777" w:rsidTr="00C46144">
        <w:tc>
          <w:tcPr>
            <w:tcW w:w="439" w:type="dxa"/>
          </w:tcPr>
          <w:p w14:paraId="129078C3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64" w:type="dxa"/>
          </w:tcPr>
          <w:p w14:paraId="4B759313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 xml:space="preserve">Место </w:t>
            </w:r>
            <w:r w:rsidRPr="00CF63FC">
              <w:rPr>
                <w:rFonts w:ascii="Arial" w:hAnsi="Arial" w:cs="Arial"/>
                <w:b/>
                <w:sz w:val="20"/>
                <w:szCs w:val="20"/>
              </w:rPr>
              <w:t>поставки товара, выполнения работ, оказания услуг</w:t>
            </w:r>
          </w:p>
        </w:tc>
        <w:tc>
          <w:tcPr>
            <w:tcW w:w="6804" w:type="dxa"/>
          </w:tcPr>
          <w:p w14:paraId="0167B9F0" w14:textId="4CCD3004" w:rsidR="00F96445" w:rsidRPr="00A60213" w:rsidRDefault="00A860FA" w:rsidP="00C4614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2F4">
              <w:rPr>
                <w:rFonts w:ascii="Arial" w:eastAsia="Calibri" w:hAnsi="Arial" w:cs="Arial"/>
                <w:color w:val="000000"/>
                <w:sz w:val="20"/>
                <w:szCs w:val="20"/>
              </w:rPr>
              <w:t>г. Москва, Космодамианская наб., д. 52, стр. 7; Удаленно</w:t>
            </w:r>
            <w:r w:rsidRPr="00A23F8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96445" w:rsidRPr="0028275F" w14:paraId="0DE98EA9" w14:textId="77777777" w:rsidTr="00C46144">
        <w:tc>
          <w:tcPr>
            <w:tcW w:w="439" w:type="dxa"/>
          </w:tcPr>
          <w:p w14:paraId="67ED6742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64" w:type="dxa"/>
          </w:tcPr>
          <w:p w14:paraId="199F4BD8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Порядок подачи заявок</w:t>
            </w:r>
          </w:p>
        </w:tc>
        <w:tc>
          <w:tcPr>
            <w:tcW w:w="6804" w:type="dxa"/>
          </w:tcPr>
          <w:p w14:paraId="0F2D682D" w14:textId="1EC61DC3" w:rsidR="00F96445" w:rsidRPr="0028275F" w:rsidRDefault="00F96445" w:rsidP="00C46144">
            <w:pPr>
              <w:pStyle w:val="1"/>
              <w:spacing w:before="0" w:beforeAutospacing="0" w:after="0" w:afterAutospacing="0"/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Для участия в конкурсном отборе Участник подаёт заявку на сайте </w:t>
            </w:r>
            <w:r w:rsidR="00A04658" w:rsidRPr="00C339BA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https://rb.roseltorg.ru/</w:t>
            </w:r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(далее – ЭТП) в соответствии с Регламентом работы ЭТП. </w:t>
            </w:r>
          </w:p>
          <w:p w14:paraId="5C023D7E" w14:textId="77777777" w:rsidR="00F96445" w:rsidRPr="0028275F" w:rsidRDefault="00F96445" w:rsidP="00C46144">
            <w:pPr>
              <w:pStyle w:val="1"/>
              <w:spacing w:before="0" w:beforeAutospacing="0" w:after="0" w:afterAutospacing="0"/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Участник вправе подать заявку в любое время с момента размещения информации о проводимом конкурсном отборе (далее – Тендер), но не позднее даты и времени окончания срока подачи заявок. </w:t>
            </w:r>
          </w:p>
          <w:p w14:paraId="5CFDFEFC" w14:textId="77777777" w:rsidR="00F96445" w:rsidRPr="0028275F" w:rsidRDefault="00F96445" w:rsidP="00C46144">
            <w:pPr>
              <w:rPr>
                <w:rStyle w:val="a5"/>
                <w:rFonts w:ascii="Arial" w:hAnsi="Arial" w:cs="Arial"/>
                <w:i/>
                <w:iCs/>
                <w:color w:val="000000"/>
                <w:sz w:val="20"/>
                <w:szCs w:val="20"/>
                <w:u w:val="none"/>
              </w:rPr>
            </w:pPr>
            <w:r w:rsidRPr="0028275F">
              <w:rPr>
                <w:rStyle w:val="a5"/>
                <w:rFonts w:ascii="Arial" w:hAnsi="Arial" w:cs="Arial"/>
                <w:color w:val="000000"/>
                <w:sz w:val="20"/>
                <w:szCs w:val="20"/>
                <w:u w:val="none"/>
              </w:rPr>
              <w:t>Приём заявок прекращается после окончания срока подачи заявок, установленного в извещении о проведении Тендера на ЭТП.</w:t>
            </w:r>
          </w:p>
          <w:p w14:paraId="172BFF30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Style w:val="a5"/>
                <w:rFonts w:ascii="Arial" w:eastAsia="SimSun" w:hAnsi="Arial" w:cs="Arial"/>
                <w:color w:val="000000"/>
                <w:sz w:val="20"/>
                <w:szCs w:val="20"/>
                <w:u w:val="none"/>
                <w:lang w:eastAsia="zh-C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F96445" w:rsidRPr="0028275F" w14:paraId="0BF2EE9D" w14:textId="77777777" w:rsidTr="00C46144">
        <w:tc>
          <w:tcPr>
            <w:tcW w:w="439" w:type="dxa"/>
          </w:tcPr>
          <w:p w14:paraId="5412A20A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64" w:type="dxa"/>
          </w:tcPr>
          <w:p w14:paraId="69DF3FC2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Требования к содержанию, форме, оформлению и составу заявки (тендерного предложения)</w:t>
            </w:r>
          </w:p>
        </w:tc>
        <w:tc>
          <w:tcPr>
            <w:tcW w:w="6804" w:type="dxa"/>
          </w:tcPr>
          <w:p w14:paraId="349DE56C" w14:textId="77777777" w:rsidR="00F96445" w:rsidRPr="0028275F" w:rsidRDefault="00F96445" w:rsidP="00C461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Документы и сведения, подтверждающие соответствие Участника Тендера (далее – Участник) требованиям, предъявляемым к Участникам Тендера и к закупаемой продукции, предоставляются в составе заявки на участие в Тендере, оформленной в соответствии с п. 11 настоящей документации о проведении конкурсного отбора.</w:t>
            </w:r>
          </w:p>
          <w:p w14:paraId="287721F3" w14:textId="77777777" w:rsidR="00F96445" w:rsidRPr="003F7068" w:rsidRDefault="00F96445" w:rsidP="00C46144">
            <w:pPr>
              <w:rPr>
                <w:rFonts w:ascii="Arial" w:hAnsi="Arial" w:cs="Arial"/>
                <w:i/>
                <w:iCs/>
                <w:sz w:val="6"/>
                <w:szCs w:val="20"/>
              </w:rPr>
            </w:pPr>
          </w:p>
          <w:p w14:paraId="7D5E2637" w14:textId="77777777" w:rsidR="00F96445" w:rsidRPr="0028275F" w:rsidRDefault="00F96445" w:rsidP="00C46144">
            <w:pPr>
              <w:pStyle w:val="a6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28275F">
              <w:rPr>
                <w:rFonts w:ascii="Arial" w:hAnsi="Arial"/>
                <w:i w:val="0"/>
                <w:iCs w:val="0"/>
                <w:sz w:val="20"/>
                <w:szCs w:val="20"/>
              </w:rPr>
              <w:t>Заявка, документы, входящие в её состав, должны быть составлены на русском языке, за исключением документов, оригиналы которых выданы третьими лицами на иностранном языке. Такие документы должны быть предоставлены на языке оригинала с обязательным  приложением перевода этих документов на русский язык, заверенным в установленном порядке (документы, полученные из-за границы, должны быть апостилированы с нотариально удостоверенным переводом на русский язык). При выявлении расхождений между текстом на  русском языке и на языке оригинала, преимущество будет отдано тексту на русском языке. Заказчик вправе не рассматривать документы, не переведенные на русский язык.</w:t>
            </w:r>
          </w:p>
          <w:p w14:paraId="1FECFC00" w14:textId="77777777" w:rsidR="00F96445" w:rsidRPr="0028275F" w:rsidRDefault="00F96445" w:rsidP="00C461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 xml:space="preserve">Срок действия предложения Участника, содержащегося в заявке, не должен быть менее 60 (Шестидесяти) календарных дней со дня подачи заявки. </w:t>
            </w:r>
          </w:p>
          <w:p w14:paraId="618C54C1" w14:textId="77777777" w:rsidR="00F96445" w:rsidRPr="003F7068" w:rsidRDefault="00F96445" w:rsidP="00C46144">
            <w:pPr>
              <w:rPr>
                <w:rFonts w:ascii="Arial" w:hAnsi="Arial" w:cs="Arial"/>
                <w:i/>
                <w:iCs/>
                <w:sz w:val="12"/>
                <w:szCs w:val="20"/>
              </w:rPr>
            </w:pPr>
          </w:p>
          <w:p w14:paraId="5F9C5843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Заявка, а также документы, входящие в состав за</w:t>
            </w:r>
            <w:r>
              <w:rPr>
                <w:rFonts w:ascii="Arial" w:hAnsi="Arial" w:cs="Arial"/>
                <w:sz w:val="20"/>
                <w:szCs w:val="20"/>
              </w:rPr>
              <w:t>явки, направляются на сайте ЭТП</w:t>
            </w:r>
            <w:r w:rsidRPr="0028275F">
              <w:rPr>
                <w:rFonts w:ascii="Arial" w:hAnsi="Arial" w:cs="Arial"/>
                <w:sz w:val="20"/>
                <w:szCs w:val="20"/>
              </w:rPr>
              <w:t xml:space="preserve"> в форме электронных документов, в соответствии с регламентом работы электронной торговой площадки (далее – Регламент работы ЭТП).</w:t>
            </w:r>
          </w:p>
        </w:tc>
      </w:tr>
      <w:tr w:rsidR="00F96445" w:rsidRPr="0028275F" w14:paraId="4D4D8D86" w14:textId="77777777" w:rsidTr="00C46144">
        <w:tc>
          <w:tcPr>
            <w:tcW w:w="439" w:type="dxa"/>
          </w:tcPr>
          <w:p w14:paraId="01B8C293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64" w:type="dxa"/>
          </w:tcPr>
          <w:p w14:paraId="280D2419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Требования к Участникам</w:t>
            </w:r>
          </w:p>
        </w:tc>
        <w:tc>
          <w:tcPr>
            <w:tcW w:w="6804" w:type="dxa"/>
          </w:tcPr>
          <w:p w14:paraId="1B2E8A62" w14:textId="77777777" w:rsidR="00F96445" w:rsidRPr="00736FFF" w:rsidRDefault="00F96445" w:rsidP="00C46144">
            <w:p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736FF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 участию в Тендере допускаются Участники, которые должны соответствовать требованиям, предъявляемым в соответствии с законодательством Российской Федерации к лицам, осуществляющим поставку Оборудования, являющегося предметом Тендера, в том числе к участникам предъявляются следующие требования:</w:t>
            </w:r>
          </w:p>
          <w:p w14:paraId="637F9E07" w14:textId="77777777" w:rsidR="00F96445" w:rsidRPr="0028275F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быть правомочным заключать договор;</w:t>
            </w:r>
          </w:p>
          <w:p w14:paraId="31DE56E0" w14:textId="77777777" w:rsidR="00F96445" w:rsidRPr="0028275F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не находиться в процессе реорганизации, ликвидации или банкротства;</w:t>
            </w:r>
          </w:p>
          <w:p w14:paraId="39B78B2B" w14:textId="77777777" w:rsidR="00F96445" w:rsidRPr="0028275F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lastRenderedPageBreak/>
              <w:t xml:space="preserve">не являться юридическим лицом, на имущество которого наложен арест по решению суда, административного органа и (или) экономическая деятельность, которого приостановлена; </w:t>
            </w:r>
          </w:p>
          <w:p w14:paraId="5162C883" w14:textId="77777777" w:rsidR="00F96445" w:rsidRPr="0028275F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 xml:space="preserve">не иметь за прошедший календарный год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двадцать пять процентов балансовой стоимости активов, определяемой по данным бухгалтерской отчетности за последний завершенный отчетный период; </w:t>
            </w:r>
          </w:p>
          <w:p w14:paraId="55B325E7" w14:textId="77777777" w:rsidR="00F96445" w:rsidRPr="0028275F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обладать профессиональной компетентностью, финансовыми и трудовыми (кадровыми) ресурсами, оборудованием и другими материальными возможностями, надежностью, опытом и репутацией, необходимыми для исполнения договора;</w:t>
            </w:r>
          </w:p>
          <w:p w14:paraId="54C1E05D" w14:textId="77777777" w:rsidR="00F96445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не быть включенным в реестр недобросовестных поставщиков, предусмотренный федеральными законами «О закупках товаров, работ, услуг отдельными видами юридических лиц» № 223-ФЗ от 18.07.2011г., «О контрактной системе в сфере закупок товаров, работ, услуг для обеспечения государственных и муниципальных нужд» № 44-ФЗ от 05.04.2013г.;</w:t>
            </w:r>
          </w:p>
          <w:p w14:paraId="2CC93AA2" w14:textId="77777777" w:rsidR="00F96445" w:rsidRPr="0028275F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иметь л</w:t>
            </w:r>
            <w:r w:rsidRPr="00725D86">
              <w:rPr>
                <w:rFonts w:ascii="Arial" w:hAnsi="Arial"/>
                <w:i w:val="0"/>
              </w:rPr>
              <w:t>ицензи</w:t>
            </w:r>
            <w:r>
              <w:rPr>
                <w:rFonts w:ascii="Arial" w:hAnsi="Arial"/>
                <w:i w:val="0"/>
              </w:rPr>
              <w:t>и</w:t>
            </w:r>
            <w:r w:rsidRPr="00725D86">
              <w:rPr>
                <w:rFonts w:ascii="Arial" w:hAnsi="Arial"/>
                <w:i w:val="0"/>
              </w:rPr>
              <w:t xml:space="preserve"> и сертификат</w:t>
            </w:r>
            <w:r>
              <w:rPr>
                <w:rFonts w:ascii="Arial" w:hAnsi="Arial"/>
                <w:i w:val="0"/>
              </w:rPr>
              <w:t>ы</w:t>
            </w:r>
            <w:r w:rsidRPr="00725D86">
              <w:rPr>
                <w:rFonts w:ascii="Arial" w:hAnsi="Arial"/>
                <w:i w:val="0"/>
              </w:rPr>
              <w:t>, необходимы</w:t>
            </w:r>
            <w:r>
              <w:rPr>
                <w:rFonts w:ascii="Arial" w:hAnsi="Arial"/>
                <w:i w:val="0"/>
              </w:rPr>
              <w:t>е</w:t>
            </w:r>
            <w:r w:rsidRPr="00725D86">
              <w:rPr>
                <w:rFonts w:ascii="Arial" w:hAnsi="Arial"/>
                <w:i w:val="0"/>
              </w:rPr>
              <w:t xml:space="preserve"> для осуществления деятельности организации на территории Российской Федерации</w:t>
            </w:r>
            <w:r>
              <w:rPr>
                <w:rFonts w:ascii="Arial" w:hAnsi="Arial"/>
                <w:i w:val="0"/>
              </w:rPr>
              <w:t xml:space="preserve"> по предмету тендера;</w:t>
            </w:r>
          </w:p>
          <w:p w14:paraId="3EDB3371" w14:textId="77777777" w:rsidR="00F96445" w:rsidRPr="00D0710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D0710D">
              <w:rPr>
                <w:rFonts w:ascii="Arial" w:hAnsi="Arial"/>
                <w:i w:val="0"/>
              </w:rPr>
              <w:t>срок регистрации организации</w:t>
            </w:r>
            <w:r>
              <w:rPr>
                <w:rFonts w:ascii="Arial" w:hAnsi="Arial"/>
                <w:i w:val="0"/>
              </w:rPr>
              <w:t xml:space="preserve"> должен быть</w:t>
            </w:r>
            <w:r w:rsidRPr="00D0710D">
              <w:rPr>
                <w:rFonts w:ascii="Arial" w:hAnsi="Arial"/>
                <w:i w:val="0"/>
              </w:rPr>
              <w:t xml:space="preserve"> не менее 2 лет</w:t>
            </w:r>
            <w:r>
              <w:rPr>
                <w:rFonts w:ascii="Arial" w:hAnsi="Arial"/>
                <w:i w:val="0"/>
              </w:rPr>
              <w:t>;</w:t>
            </w:r>
          </w:p>
          <w:p w14:paraId="7A5140AD" w14:textId="77777777" w:rsidR="00F96445" w:rsidRPr="00892770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892770">
              <w:rPr>
                <w:rFonts w:ascii="Arial" w:hAnsi="Arial"/>
                <w:i w:val="0"/>
              </w:rPr>
              <w:t xml:space="preserve">наличие офиса/представительства компании в России; </w:t>
            </w:r>
          </w:p>
          <w:p w14:paraId="1A2B29C1" w14:textId="77777777" w:rsidR="00F96445" w:rsidRPr="00CF63FC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о</w:t>
            </w:r>
            <w:r w:rsidRPr="00D0710D">
              <w:rPr>
                <w:rFonts w:ascii="Arial" w:hAnsi="Arial"/>
                <w:i w:val="0"/>
              </w:rPr>
              <w:t xml:space="preserve">тсутствие </w:t>
            </w:r>
            <w:r w:rsidRPr="00CF63FC">
              <w:rPr>
                <w:rFonts w:ascii="Arial" w:hAnsi="Arial"/>
                <w:i w:val="0"/>
              </w:rPr>
              <w:t>негативного опыта работы с АО «Экспобанк».</w:t>
            </w:r>
          </w:p>
          <w:p w14:paraId="04EDA32A" w14:textId="30B7BFE5" w:rsidR="00F96445" w:rsidRPr="005450E8" w:rsidRDefault="00F96445" w:rsidP="005450E8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5450E8">
              <w:rPr>
                <w:rFonts w:ascii="Arial" w:hAnsi="Arial"/>
                <w:i w:val="0"/>
              </w:rPr>
              <w:t xml:space="preserve">обладать опытом </w:t>
            </w:r>
            <w:r w:rsidR="00413CA4" w:rsidRPr="005450E8">
              <w:rPr>
                <w:rFonts w:ascii="Arial" w:hAnsi="Arial"/>
                <w:i w:val="0"/>
              </w:rPr>
              <w:t>оказания</w:t>
            </w:r>
            <w:r w:rsidR="00EF52B5" w:rsidRPr="005450E8">
              <w:rPr>
                <w:rFonts w:ascii="Arial" w:hAnsi="Arial"/>
                <w:i w:val="0"/>
              </w:rPr>
              <w:t xml:space="preserve"> </w:t>
            </w:r>
            <w:r w:rsidR="006E1A0A" w:rsidRPr="005450E8">
              <w:rPr>
                <w:rFonts w:ascii="Arial" w:hAnsi="Arial"/>
                <w:i w:val="0"/>
              </w:rPr>
              <w:t xml:space="preserve">услуг по тестированию инфраструктуры </w:t>
            </w:r>
            <w:r w:rsidRPr="005450E8">
              <w:rPr>
                <w:rFonts w:ascii="Arial" w:hAnsi="Arial"/>
                <w:i w:val="0"/>
              </w:rPr>
              <w:t xml:space="preserve">(наличие не менее </w:t>
            </w:r>
            <w:r w:rsidR="000009E0" w:rsidRPr="005450E8">
              <w:rPr>
                <w:rFonts w:ascii="Arial" w:hAnsi="Arial"/>
                <w:i w:val="0"/>
              </w:rPr>
              <w:t xml:space="preserve">одного </w:t>
            </w:r>
            <w:r w:rsidRPr="005450E8">
              <w:rPr>
                <w:rFonts w:ascii="Arial" w:hAnsi="Arial"/>
                <w:i w:val="0"/>
              </w:rPr>
              <w:t>выполненн</w:t>
            </w:r>
            <w:r w:rsidR="000009E0" w:rsidRPr="005450E8">
              <w:rPr>
                <w:rFonts w:ascii="Arial" w:hAnsi="Arial"/>
                <w:i w:val="0"/>
              </w:rPr>
              <w:t>ого</w:t>
            </w:r>
            <w:r w:rsidRPr="005450E8">
              <w:rPr>
                <w:rFonts w:ascii="Arial" w:hAnsi="Arial"/>
                <w:i w:val="0"/>
              </w:rPr>
              <w:t xml:space="preserve"> договор</w:t>
            </w:r>
            <w:r w:rsidR="000009E0" w:rsidRPr="005450E8">
              <w:rPr>
                <w:rFonts w:ascii="Arial" w:hAnsi="Arial"/>
                <w:i w:val="0"/>
              </w:rPr>
              <w:t>а</w:t>
            </w:r>
            <w:r w:rsidR="006E1A0A" w:rsidRPr="005450E8">
              <w:rPr>
                <w:rFonts w:ascii="Arial" w:hAnsi="Arial"/>
                <w:i w:val="0"/>
              </w:rPr>
              <w:t xml:space="preserve"> за 2021-2024</w:t>
            </w:r>
            <w:r w:rsidRPr="005450E8">
              <w:rPr>
                <w:rFonts w:ascii="Arial" w:hAnsi="Arial"/>
                <w:i w:val="0"/>
              </w:rPr>
              <w:t xml:space="preserve"> г</w:t>
            </w:r>
            <w:r w:rsidR="00DD03FC" w:rsidRPr="005450E8">
              <w:rPr>
                <w:rFonts w:ascii="Arial" w:hAnsi="Arial"/>
                <w:i w:val="0"/>
              </w:rPr>
              <w:t>.);</w:t>
            </w:r>
          </w:p>
          <w:p w14:paraId="2F16E5D3" w14:textId="6D75757E" w:rsidR="00F96445" w:rsidRPr="005450E8" w:rsidRDefault="00F96445" w:rsidP="005450E8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5450E8">
              <w:rPr>
                <w:rFonts w:ascii="Arial" w:hAnsi="Arial"/>
                <w:i w:val="0"/>
              </w:rPr>
              <w:t xml:space="preserve">наличие документов, подтверждающих право участника на </w:t>
            </w:r>
            <w:r w:rsidR="006E1A0A" w:rsidRPr="005450E8">
              <w:rPr>
                <w:rFonts w:ascii="Arial" w:hAnsi="Arial"/>
                <w:i w:val="0"/>
              </w:rPr>
              <w:t xml:space="preserve">оказание услуг по тестированию </w:t>
            </w:r>
            <w:r w:rsidRPr="005450E8">
              <w:rPr>
                <w:rFonts w:ascii="Arial" w:hAnsi="Arial"/>
                <w:i w:val="0"/>
              </w:rPr>
              <w:t>согласно Спецификации</w:t>
            </w:r>
            <w:r w:rsidR="006E1A0A" w:rsidRPr="005450E8">
              <w:rPr>
                <w:rFonts w:ascii="Arial" w:hAnsi="Arial"/>
                <w:i w:val="0"/>
              </w:rPr>
              <w:t>, указанной в Тендерном задании.</w:t>
            </w:r>
          </w:p>
          <w:p w14:paraId="1C7B9D48" w14:textId="77777777" w:rsidR="00F96445" w:rsidRPr="00736FFF" w:rsidRDefault="00F96445" w:rsidP="00C46144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736FF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Коллективные заявки на участие в Тендере не рассматриваются.</w:t>
            </w:r>
          </w:p>
        </w:tc>
      </w:tr>
      <w:tr w:rsidR="00F96445" w:rsidRPr="0028275F" w14:paraId="1E9E28D8" w14:textId="77777777" w:rsidTr="00C46144">
        <w:tc>
          <w:tcPr>
            <w:tcW w:w="439" w:type="dxa"/>
          </w:tcPr>
          <w:p w14:paraId="333B3AA0" w14:textId="7C8D553E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64" w:type="dxa"/>
          </w:tcPr>
          <w:p w14:paraId="0244EA04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Перечень документов, предоставляемых в составе заявки</w:t>
            </w:r>
          </w:p>
        </w:tc>
        <w:tc>
          <w:tcPr>
            <w:tcW w:w="6804" w:type="dxa"/>
          </w:tcPr>
          <w:p w14:paraId="28D23F6C" w14:textId="77777777" w:rsidR="00F96445" w:rsidRPr="0024514D" w:rsidRDefault="00F96445" w:rsidP="00C46144">
            <w:pPr>
              <w:spacing w:line="264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2451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 составе заявки на участие в Тендере Участник должен предоставить следующие документы:</w:t>
            </w:r>
          </w:p>
          <w:p w14:paraId="24D7CCE8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Анкета участника в соответствии с Приложением №1 к настоящей документации;</w:t>
            </w:r>
          </w:p>
          <w:p w14:paraId="05DCB361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 xml:space="preserve">Тендерное предложение в соответствии с Приложением №2 к настоящей документации (скан и в формате </w:t>
            </w:r>
            <w:r w:rsidRPr="0024514D">
              <w:rPr>
                <w:rFonts w:ascii="Arial" w:hAnsi="Arial"/>
                <w:i w:val="0"/>
                <w:lang w:val="en-US"/>
              </w:rPr>
              <w:t>doc</w:t>
            </w:r>
            <w:r w:rsidRPr="0024514D">
              <w:rPr>
                <w:rFonts w:ascii="Arial" w:hAnsi="Arial"/>
                <w:i w:val="0"/>
              </w:rPr>
              <w:t>);</w:t>
            </w:r>
          </w:p>
          <w:p w14:paraId="7EDA5492" w14:textId="4432E43D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 xml:space="preserve">Справка об опыте выполнения аналогичных </w:t>
            </w:r>
            <w:r w:rsidR="002A0E57">
              <w:rPr>
                <w:rFonts w:ascii="Arial" w:hAnsi="Arial"/>
                <w:i w:val="0"/>
              </w:rPr>
              <w:t>услуг</w:t>
            </w:r>
            <w:r w:rsidRPr="0024514D">
              <w:rPr>
                <w:rFonts w:ascii="Arial" w:hAnsi="Arial"/>
                <w:i w:val="0"/>
              </w:rPr>
              <w:t xml:space="preserve"> в соответствии с Приложением №4 с обязательным приложением копий договоров, копий Актов </w:t>
            </w:r>
            <w:r w:rsidR="002A0E57">
              <w:rPr>
                <w:rFonts w:ascii="Arial" w:hAnsi="Arial"/>
                <w:i w:val="0"/>
              </w:rPr>
              <w:t>и т.д.</w:t>
            </w:r>
            <w:r w:rsidRPr="0024514D">
              <w:rPr>
                <w:rFonts w:ascii="Arial" w:hAnsi="Arial"/>
                <w:i w:val="0"/>
              </w:rPr>
              <w:t xml:space="preserve">, подтверждающих </w:t>
            </w:r>
            <w:r w:rsidR="002A0E57">
              <w:rPr>
                <w:rFonts w:ascii="Arial" w:hAnsi="Arial"/>
                <w:i w:val="0"/>
              </w:rPr>
              <w:t>опыт оказания услуг</w:t>
            </w:r>
            <w:r w:rsidRPr="0024514D">
              <w:rPr>
                <w:rFonts w:ascii="Arial" w:hAnsi="Arial"/>
                <w:i w:val="0"/>
              </w:rPr>
              <w:t xml:space="preserve">, в соответствии с требованием по наличию опыта; </w:t>
            </w:r>
          </w:p>
          <w:p w14:paraId="179DE409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Документы, подтверждающие полномочия лица на осуществление действий от имени Участника (решение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доверенности). Если от имени Участника действует иное лицо, заявка дополнительно должна содержать доверенность на осуществление действий от имени Участника.</w:t>
            </w:r>
          </w:p>
          <w:p w14:paraId="1F41E3AB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Для юридических лиц - сканированные копии учредительных документов, заверенные печатью организации и подписью руководителя: устав, лист записи (свидетельство) о государственной регистрации (при наличии), лист записи (свидетельство) о внесении в единый государственный реестр (при наличии);</w:t>
            </w:r>
          </w:p>
          <w:p w14:paraId="3DC7EC04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Для индивидуальных предпринимателей – сканированные копии документов: свидетельство о постановке на учет в налоговом органе физического лица по месту жительства на территории РФ, лист записи (свидетельство) о внесении записи в Единый реестр индивидуальных предпринимателей;</w:t>
            </w:r>
          </w:p>
          <w:p w14:paraId="39B62793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bCs w:val="0"/>
                <w:iCs w:val="0"/>
              </w:rPr>
            </w:pPr>
            <w:r w:rsidRPr="0024514D">
              <w:rPr>
                <w:rFonts w:ascii="Arial" w:hAnsi="Arial"/>
                <w:i w:val="0"/>
              </w:rPr>
              <w:t xml:space="preserve">Выписка из ЕГРЮЛ (ОГРНИП) – сканированная копия оригинала (выданная не ранее 2-х месяцев до момента предоставления </w:t>
            </w:r>
            <w:r w:rsidRPr="0024514D">
              <w:rPr>
                <w:rFonts w:ascii="Arial" w:hAnsi="Arial"/>
                <w:i w:val="0"/>
              </w:rPr>
              <w:lastRenderedPageBreak/>
              <w:t>документов), заверенная печатью организации и подписью руководителя или сформированная Участником самостоятельно в форме электронного документа, подписанного усиленной квалифицированной электронной подписью, с использованием официального сайта ФНС России (</w:t>
            </w:r>
            <w:hyperlink r:id="rId9" w:history="1">
              <w:r w:rsidRPr="0024514D">
                <w:rPr>
                  <w:rFonts w:ascii="Arial" w:hAnsi="Arial"/>
                  <w:i w:val="0"/>
                </w:rPr>
                <w:t>https://service.nalog.ru/vyp/</w:t>
              </w:r>
            </w:hyperlink>
            <w:r w:rsidRPr="0024514D">
              <w:rPr>
                <w:rFonts w:ascii="Arial" w:hAnsi="Arial"/>
                <w:i w:val="0"/>
              </w:rPr>
              <w:t>).</w:t>
            </w:r>
          </w:p>
          <w:p w14:paraId="1C190F3E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Справка из ФНС об отсутствие просроченной задолженности по налогам и сборам, выданная не более месяца назад от даты направления в Банк Тендерного предложения.</w:t>
            </w:r>
          </w:p>
          <w:p w14:paraId="086A7307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Сканированные копии, заверенные печатью организации и подписью руководителя, бухгалтерского баланса, отчета о прибылях и убытках за последний завершенный финансовый год и последний отчетный период с отметкой налогового органа о приеме, либо копии налоговых деклараций по налогу, уплачиваемому в связи с применением упрощенной системы налогообложения с отметкой налогового органа о приеме за аналогичный период. В случае применения упрощенной системы налогообложения также предоставляется сканированная копия уведомления налоговой инспекции, заверенная печатью организации и подписью руководителя.</w:t>
            </w:r>
          </w:p>
          <w:p w14:paraId="76CB7B2D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К тендерному предложению обязательно должны прилагаться копии лицензий и разрешений, если их наличие у участника при поставке соответствующих товаров (выполнения работ, оказания услуг) требуется в соответствии с законодательством.</w:t>
            </w:r>
          </w:p>
          <w:p w14:paraId="774170EB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Письмо с информацией о привлечении Участником к работам третьих лиц (субподрядчиков, агентов и т.д.) с указанием идентификационной информации таких лиц.</w:t>
            </w:r>
          </w:p>
          <w:p w14:paraId="2495E614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Иные документы, которые, по мнению Участника, подтверждают его соответствие установленным требованиям.</w:t>
            </w:r>
          </w:p>
          <w:p w14:paraId="25A846BD" w14:textId="77777777" w:rsidR="00F96445" w:rsidRPr="0024514D" w:rsidRDefault="00F96445" w:rsidP="00C46144">
            <w:pPr>
              <w:shd w:val="clear" w:color="auto" w:fill="FFFFFF"/>
              <w:tabs>
                <w:tab w:val="left" w:pos="1080"/>
              </w:tabs>
              <w:ind w:left="99"/>
              <w:contextualSpacing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2451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Дополнительно по запросу Банка (при необходимости) потенциальные победители тендера предоставляют:</w:t>
            </w:r>
          </w:p>
          <w:p w14:paraId="43AE8059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справку об открытых счетах организации (ИП), персональных данных генерального директора (единоличного исполнительного органа), с прикрепленным согласием на обработку персональных данных согласно приложения к Анкете участника (Приложение №1).</w:t>
            </w:r>
          </w:p>
          <w:p w14:paraId="187EBF4F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копию паспорта руководителя юридического лица, копия паспорта ИП, первый лист и лист с регистрацией,</w:t>
            </w:r>
          </w:p>
          <w:p w14:paraId="517DFF88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справки из банков об оборотах по всем расчетным счетам за последние 3 месяца,</w:t>
            </w:r>
          </w:p>
          <w:p w14:paraId="69C0E955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договор аренды, субаренды, и/или документы, подтверждающие право собственности, в отношении адреса фактической деятельности участника тендера;</w:t>
            </w:r>
          </w:p>
          <w:p w14:paraId="28C4556C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копию антикоррупционной политики или иного внутреннего нормативного документа Участника тендера, а также третьих лиц (субподрядчиков, агентов и т.д. – при наличии), определяющего меры по управлению коррупционными рисками (при наличии);</w:t>
            </w:r>
          </w:p>
          <w:p w14:paraId="0F0DC729" w14:textId="77777777" w:rsidR="00F96445" w:rsidRPr="0024514D" w:rsidRDefault="00F96445" w:rsidP="00C4614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информацию о наличии/ отсутствии прямых или косвенных связей Участника тендера/ третьих лиц (субподрядчиков и т.д. – при наличии), их руководителей, акционеров с публичными должностными лицами, а также, с владельцами (участниками), должностными лицами и сотрудниками Банка.</w:t>
            </w:r>
          </w:p>
        </w:tc>
      </w:tr>
      <w:tr w:rsidR="00F96445" w:rsidRPr="0028275F" w14:paraId="33FC7D65" w14:textId="77777777" w:rsidTr="00C46144">
        <w:tc>
          <w:tcPr>
            <w:tcW w:w="439" w:type="dxa"/>
          </w:tcPr>
          <w:p w14:paraId="34919BBE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64" w:type="dxa"/>
          </w:tcPr>
          <w:p w14:paraId="5110A77B" w14:textId="77777777" w:rsidR="00F96445" w:rsidRPr="0028275F" w:rsidRDefault="00F96445" w:rsidP="00C46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Прочие условия</w:t>
            </w:r>
          </w:p>
        </w:tc>
        <w:tc>
          <w:tcPr>
            <w:tcW w:w="6804" w:type="dxa"/>
          </w:tcPr>
          <w:p w14:paraId="06F60343" w14:textId="77777777" w:rsidR="00F96445" w:rsidRPr="0028275F" w:rsidRDefault="00F96445" w:rsidP="00C461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Любая информация, прямо или косвенно связанная с проводимым конкурсным отбором и которая не была объявлена публичной является конфиденциальной.</w:t>
            </w:r>
          </w:p>
          <w:p w14:paraId="26E7D232" w14:textId="77777777" w:rsidR="00F96445" w:rsidRPr="004E72B1" w:rsidRDefault="00F96445" w:rsidP="00C46144">
            <w:pPr>
              <w:jc w:val="both"/>
              <w:rPr>
                <w:rFonts w:ascii="Arial" w:hAnsi="Arial" w:cs="Arial"/>
                <w:i/>
                <w:sz w:val="6"/>
                <w:szCs w:val="20"/>
              </w:rPr>
            </w:pPr>
          </w:p>
          <w:p w14:paraId="26778C20" w14:textId="77777777" w:rsidR="00F96445" w:rsidRPr="0028275F" w:rsidRDefault="00F96445" w:rsidP="00C461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Участники самостоятельно несут все расходы, связанные с подготовкой и подачей предложений в рамках тендера, а Банк по этим расходам не отвечает и не имеет обязательств, независимо от хода и результатов тендера.</w:t>
            </w:r>
          </w:p>
          <w:p w14:paraId="534777CC" w14:textId="77777777" w:rsidR="00F96445" w:rsidRPr="004E72B1" w:rsidRDefault="00F96445" w:rsidP="00C46144">
            <w:pPr>
              <w:jc w:val="both"/>
              <w:rPr>
                <w:rFonts w:ascii="Arial" w:hAnsi="Arial" w:cs="Arial"/>
                <w:i/>
                <w:sz w:val="6"/>
                <w:szCs w:val="20"/>
              </w:rPr>
            </w:pPr>
          </w:p>
          <w:p w14:paraId="77CBB495" w14:textId="77777777" w:rsidR="00F96445" w:rsidRPr="0028275F" w:rsidRDefault="00F96445" w:rsidP="00C461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Банк, вправе отказаться от проведения Тендера на любом этапе вплоть до заключения договора.</w:t>
            </w:r>
          </w:p>
          <w:p w14:paraId="5CDBB269" w14:textId="77777777" w:rsidR="00F96445" w:rsidRPr="004E72B1" w:rsidRDefault="00F96445" w:rsidP="00C46144">
            <w:pPr>
              <w:jc w:val="both"/>
              <w:rPr>
                <w:rFonts w:ascii="Arial" w:hAnsi="Arial" w:cs="Arial"/>
                <w:i/>
                <w:sz w:val="8"/>
                <w:szCs w:val="20"/>
              </w:rPr>
            </w:pPr>
          </w:p>
          <w:p w14:paraId="735850C4" w14:textId="77777777" w:rsidR="00F96445" w:rsidRPr="0028275F" w:rsidRDefault="00F96445" w:rsidP="00C461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 xml:space="preserve">Тендер, проводимый в соответствие с настоящей Документацией, не является способом заключения договора на торгах, публичным обещанием награды, публичным конкурсом, предварительным </w:t>
            </w: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договором в смысле, заложенном гражданским законодательством РФ.</w:t>
            </w:r>
          </w:p>
          <w:p w14:paraId="1E1F5B41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Размещение Заказчиком Приглашения на участие в тендере является приглашением делать оферты и должно рассматриваться Участниками тендера с учетом этого. Тендерное предложение Участника тендера расценивается в качестве оферты. В таком случае акцептом оферты признается подписание договора Заказчиком.</w:t>
            </w:r>
          </w:p>
        </w:tc>
      </w:tr>
      <w:tr w:rsidR="00F96445" w:rsidRPr="0028275F" w14:paraId="4E676CD3" w14:textId="77777777" w:rsidTr="00C46144">
        <w:tc>
          <w:tcPr>
            <w:tcW w:w="439" w:type="dxa"/>
            <w:shd w:val="clear" w:color="auto" w:fill="BDD6EE" w:themeFill="accent1" w:themeFillTint="66"/>
          </w:tcPr>
          <w:p w14:paraId="786348AE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9768" w:type="dxa"/>
            <w:gridSpan w:val="2"/>
            <w:shd w:val="clear" w:color="auto" w:fill="BDD6EE" w:themeFill="accent1" w:themeFillTint="66"/>
          </w:tcPr>
          <w:p w14:paraId="13E835DF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 xml:space="preserve">Приложения к </w:t>
            </w:r>
            <w:r w:rsidRPr="002827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документации о проведении конкурсного отбора</w:t>
            </w:r>
          </w:p>
        </w:tc>
      </w:tr>
      <w:tr w:rsidR="00F96445" w:rsidRPr="0028275F" w14:paraId="213196E4" w14:textId="77777777" w:rsidTr="00C46144">
        <w:tc>
          <w:tcPr>
            <w:tcW w:w="439" w:type="dxa"/>
          </w:tcPr>
          <w:p w14:paraId="70C6B90F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8" w:type="dxa"/>
            <w:gridSpan w:val="2"/>
          </w:tcPr>
          <w:p w14:paraId="12B66F8F" w14:textId="77777777" w:rsidR="00F96445" w:rsidRPr="0028275F" w:rsidRDefault="00F96445" w:rsidP="00C461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1. Приложение 1 – Форма Анкеты Участника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E28535" w14:textId="77777777" w:rsidR="00F96445" w:rsidRPr="004E6622" w:rsidRDefault="00F96445" w:rsidP="00C461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2. Приложение 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Форма тендерного предложения – предоставить в виде скан-копии предложения, заверенного подписью и печатью, а также в формате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Word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1D2E4D" w14:textId="77777777" w:rsidR="00F96445" w:rsidRPr="0028275F" w:rsidRDefault="00F96445" w:rsidP="00C461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3. Приложение 3 – Тендерное задание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86171D" w14:textId="77777777" w:rsidR="00F96445" w:rsidRPr="0028275F" w:rsidRDefault="00F96445" w:rsidP="00C46144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 xml:space="preserve">4. Приложение 4 – </w:t>
            </w:r>
            <w:r>
              <w:rPr>
                <w:rFonts w:ascii="Arial" w:hAnsi="Arial" w:cs="Arial"/>
                <w:sz w:val="20"/>
                <w:szCs w:val="20"/>
              </w:rPr>
              <w:t>Форма справки об опыте.</w:t>
            </w:r>
          </w:p>
        </w:tc>
      </w:tr>
    </w:tbl>
    <w:p w14:paraId="06767D20" w14:textId="77777777" w:rsidR="00F96445" w:rsidRPr="00B03069" w:rsidRDefault="00F96445" w:rsidP="00F96445">
      <w:pPr>
        <w:jc w:val="center"/>
        <w:rPr>
          <w:rFonts w:ascii="Arial" w:hAnsi="Arial" w:cs="Arial"/>
          <w:b/>
          <w:sz w:val="20"/>
          <w:szCs w:val="20"/>
        </w:rPr>
      </w:pPr>
    </w:p>
    <w:p w14:paraId="49DB7A1B" w14:textId="77777777" w:rsidR="00B03069" w:rsidRPr="00F96445" w:rsidRDefault="00B03069" w:rsidP="00F96445"/>
    <w:sectPr w:rsidR="00B03069" w:rsidRPr="00F96445" w:rsidSect="004E72B1">
      <w:footerReference w:type="default" r:id="rId10"/>
      <w:pgSz w:w="11906" w:h="16838"/>
      <w:pgMar w:top="851" w:right="850" w:bottom="709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450A" w14:textId="77777777" w:rsidR="00135445" w:rsidRDefault="00135445" w:rsidP="004E72B1">
      <w:pPr>
        <w:spacing w:after="0" w:line="240" w:lineRule="auto"/>
      </w:pPr>
      <w:r>
        <w:separator/>
      </w:r>
    </w:p>
  </w:endnote>
  <w:endnote w:type="continuationSeparator" w:id="0">
    <w:p w14:paraId="7353AB8A" w14:textId="77777777" w:rsidR="00135445" w:rsidRDefault="00135445" w:rsidP="004E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619112"/>
      <w:docPartObj>
        <w:docPartGallery w:val="Page Numbers (Bottom of Page)"/>
        <w:docPartUnique/>
      </w:docPartObj>
    </w:sdtPr>
    <w:sdtEndPr/>
    <w:sdtContent>
      <w:p w14:paraId="5ADB47DA" w14:textId="2C155B3D" w:rsidR="00135445" w:rsidRDefault="001354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B96">
          <w:rPr>
            <w:noProof/>
          </w:rPr>
          <w:t>4</w:t>
        </w:r>
        <w:r>
          <w:fldChar w:fldCharType="end"/>
        </w:r>
      </w:p>
    </w:sdtContent>
  </w:sdt>
  <w:p w14:paraId="29606936" w14:textId="77777777" w:rsidR="00135445" w:rsidRDefault="001354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EE1DC" w14:textId="77777777" w:rsidR="00135445" w:rsidRDefault="00135445" w:rsidP="004E72B1">
      <w:pPr>
        <w:spacing w:after="0" w:line="240" w:lineRule="auto"/>
      </w:pPr>
      <w:r>
        <w:separator/>
      </w:r>
    </w:p>
  </w:footnote>
  <w:footnote w:type="continuationSeparator" w:id="0">
    <w:p w14:paraId="42418477" w14:textId="77777777" w:rsidR="00135445" w:rsidRDefault="00135445" w:rsidP="004E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0B34"/>
    <w:multiLevelType w:val="hybridMultilevel"/>
    <w:tmpl w:val="F0A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7"/>
    <w:rsid w:val="000009E0"/>
    <w:rsid w:val="0002017B"/>
    <w:rsid w:val="0003052F"/>
    <w:rsid w:val="00033620"/>
    <w:rsid w:val="00054287"/>
    <w:rsid w:val="00074E9F"/>
    <w:rsid w:val="0008159D"/>
    <w:rsid w:val="00085946"/>
    <w:rsid w:val="000A697C"/>
    <w:rsid w:val="000A69A2"/>
    <w:rsid w:val="000C4CD4"/>
    <w:rsid w:val="000C521E"/>
    <w:rsid w:val="000E3188"/>
    <w:rsid w:val="000E6907"/>
    <w:rsid w:val="000F2A50"/>
    <w:rsid w:val="0010192D"/>
    <w:rsid w:val="00134181"/>
    <w:rsid w:val="00135445"/>
    <w:rsid w:val="00156585"/>
    <w:rsid w:val="001709EF"/>
    <w:rsid w:val="001818F6"/>
    <w:rsid w:val="001A79C9"/>
    <w:rsid w:val="001D12B6"/>
    <w:rsid w:val="001D5A35"/>
    <w:rsid w:val="00213888"/>
    <w:rsid w:val="002141C9"/>
    <w:rsid w:val="002225C8"/>
    <w:rsid w:val="0022563F"/>
    <w:rsid w:val="00230131"/>
    <w:rsid w:val="002406D9"/>
    <w:rsid w:val="0028275F"/>
    <w:rsid w:val="002A0E57"/>
    <w:rsid w:val="002A5734"/>
    <w:rsid w:val="002B2049"/>
    <w:rsid w:val="002C6837"/>
    <w:rsid w:val="003204FD"/>
    <w:rsid w:val="0032352F"/>
    <w:rsid w:val="00335103"/>
    <w:rsid w:val="00352840"/>
    <w:rsid w:val="00377C4D"/>
    <w:rsid w:val="003832A3"/>
    <w:rsid w:val="003A05DF"/>
    <w:rsid w:val="003B0A78"/>
    <w:rsid w:val="003B79C4"/>
    <w:rsid w:val="003C35F5"/>
    <w:rsid w:val="003D4F58"/>
    <w:rsid w:val="003F7068"/>
    <w:rsid w:val="00413CA4"/>
    <w:rsid w:val="00423D55"/>
    <w:rsid w:val="004419F6"/>
    <w:rsid w:val="00461E43"/>
    <w:rsid w:val="00473657"/>
    <w:rsid w:val="004B0B32"/>
    <w:rsid w:val="004D6B70"/>
    <w:rsid w:val="004D6F24"/>
    <w:rsid w:val="004E1DEB"/>
    <w:rsid w:val="004E344C"/>
    <w:rsid w:val="004E493F"/>
    <w:rsid w:val="004E4B0D"/>
    <w:rsid w:val="004E6622"/>
    <w:rsid w:val="004E72B1"/>
    <w:rsid w:val="004F1465"/>
    <w:rsid w:val="00521253"/>
    <w:rsid w:val="005265D1"/>
    <w:rsid w:val="005450E8"/>
    <w:rsid w:val="00557B31"/>
    <w:rsid w:val="00563891"/>
    <w:rsid w:val="00581A5E"/>
    <w:rsid w:val="00587F26"/>
    <w:rsid w:val="005C5401"/>
    <w:rsid w:val="005D4639"/>
    <w:rsid w:val="005E6D58"/>
    <w:rsid w:val="005E73E8"/>
    <w:rsid w:val="00626378"/>
    <w:rsid w:val="00641A6D"/>
    <w:rsid w:val="00646B06"/>
    <w:rsid w:val="006B2C61"/>
    <w:rsid w:val="006B6006"/>
    <w:rsid w:val="006E1A0A"/>
    <w:rsid w:val="007149FA"/>
    <w:rsid w:val="00725D86"/>
    <w:rsid w:val="00733B0B"/>
    <w:rsid w:val="00736FFF"/>
    <w:rsid w:val="00770B9B"/>
    <w:rsid w:val="00772C34"/>
    <w:rsid w:val="00782E65"/>
    <w:rsid w:val="00782FC7"/>
    <w:rsid w:val="00793B25"/>
    <w:rsid w:val="007B5B92"/>
    <w:rsid w:val="007B702F"/>
    <w:rsid w:val="007D52DA"/>
    <w:rsid w:val="007F7D16"/>
    <w:rsid w:val="00813DD7"/>
    <w:rsid w:val="0083126A"/>
    <w:rsid w:val="00854390"/>
    <w:rsid w:val="00877750"/>
    <w:rsid w:val="00884A8B"/>
    <w:rsid w:val="00892770"/>
    <w:rsid w:val="008C2028"/>
    <w:rsid w:val="008D5860"/>
    <w:rsid w:val="008E1AF8"/>
    <w:rsid w:val="008E29CB"/>
    <w:rsid w:val="008F335F"/>
    <w:rsid w:val="0090396D"/>
    <w:rsid w:val="00907EAF"/>
    <w:rsid w:val="00926FC3"/>
    <w:rsid w:val="00934CF3"/>
    <w:rsid w:val="00942688"/>
    <w:rsid w:val="00945853"/>
    <w:rsid w:val="00945CD9"/>
    <w:rsid w:val="009460E5"/>
    <w:rsid w:val="00950B29"/>
    <w:rsid w:val="0095557B"/>
    <w:rsid w:val="00956220"/>
    <w:rsid w:val="00987EB3"/>
    <w:rsid w:val="009912FD"/>
    <w:rsid w:val="009A123E"/>
    <w:rsid w:val="009B0E96"/>
    <w:rsid w:val="009B125D"/>
    <w:rsid w:val="009D0862"/>
    <w:rsid w:val="009E22DA"/>
    <w:rsid w:val="009F7D8B"/>
    <w:rsid w:val="00A04658"/>
    <w:rsid w:val="00A15ABD"/>
    <w:rsid w:val="00A323DB"/>
    <w:rsid w:val="00A41E44"/>
    <w:rsid w:val="00A43EA5"/>
    <w:rsid w:val="00A50399"/>
    <w:rsid w:val="00A60136"/>
    <w:rsid w:val="00A60213"/>
    <w:rsid w:val="00A7736A"/>
    <w:rsid w:val="00A860FA"/>
    <w:rsid w:val="00A94B57"/>
    <w:rsid w:val="00AA0C32"/>
    <w:rsid w:val="00AB4996"/>
    <w:rsid w:val="00AF54E3"/>
    <w:rsid w:val="00B03069"/>
    <w:rsid w:val="00B03381"/>
    <w:rsid w:val="00B05561"/>
    <w:rsid w:val="00B15425"/>
    <w:rsid w:val="00B329AC"/>
    <w:rsid w:val="00B33E5C"/>
    <w:rsid w:val="00B7576D"/>
    <w:rsid w:val="00B76A75"/>
    <w:rsid w:val="00B84D82"/>
    <w:rsid w:val="00B85015"/>
    <w:rsid w:val="00B90867"/>
    <w:rsid w:val="00BA6ECA"/>
    <w:rsid w:val="00BC10AD"/>
    <w:rsid w:val="00BC7EF9"/>
    <w:rsid w:val="00BD1BFD"/>
    <w:rsid w:val="00C12CFB"/>
    <w:rsid w:val="00CF098A"/>
    <w:rsid w:val="00CF63FC"/>
    <w:rsid w:val="00D07D1A"/>
    <w:rsid w:val="00D14631"/>
    <w:rsid w:val="00D21DCC"/>
    <w:rsid w:val="00D35410"/>
    <w:rsid w:val="00D35FCB"/>
    <w:rsid w:val="00D72551"/>
    <w:rsid w:val="00D82595"/>
    <w:rsid w:val="00DB4A97"/>
    <w:rsid w:val="00DC0C80"/>
    <w:rsid w:val="00DD03FC"/>
    <w:rsid w:val="00E11802"/>
    <w:rsid w:val="00E33DCB"/>
    <w:rsid w:val="00E60FFB"/>
    <w:rsid w:val="00E64279"/>
    <w:rsid w:val="00E924B0"/>
    <w:rsid w:val="00EC12E6"/>
    <w:rsid w:val="00EC1C6E"/>
    <w:rsid w:val="00EF52B5"/>
    <w:rsid w:val="00EF6147"/>
    <w:rsid w:val="00F10DF9"/>
    <w:rsid w:val="00F11C55"/>
    <w:rsid w:val="00F53F80"/>
    <w:rsid w:val="00F6121C"/>
    <w:rsid w:val="00F74A66"/>
    <w:rsid w:val="00F771E1"/>
    <w:rsid w:val="00F852A0"/>
    <w:rsid w:val="00F96445"/>
    <w:rsid w:val="00FA6509"/>
    <w:rsid w:val="00FA7B96"/>
    <w:rsid w:val="00FC7856"/>
    <w:rsid w:val="00F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677AD3A"/>
  <w15:chartTrackingRefBased/>
  <w15:docId w15:val="{E363B278-1388-482D-BF2E-A0B4EED4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45"/>
  </w:style>
  <w:style w:type="paragraph" w:styleId="2">
    <w:name w:val="heading 2"/>
    <w:basedOn w:val="a0"/>
    <w:next w:val="a"/>
    <w:link w:val="20"/>
    <w:uiPriority w:val="9"/>
    <w:unhideWhenUsed/>
    <w:qFormat/>
    <w:rsid w:val="00A15ABD"/>
    <w:pPr>
      <w:autoSpaceDE w:val="0"/>
      <w:autoSpaceDN w:val="0"/>
      <w:adjustRightInd w:val="0"/>
      <w:ind w:left="0"/>
      <w:contextualSpacing/>
      <w:jc w:val="both"/>
      <w:outlineLvl w:val="1"/>
    </w:pPr>
    <w:rPr>
      <w:rFonts w:ascii="Times New Roman" w:hAnsi="Times New Roman" w:cs="Times New Roman"/>
      <w:b/>
      <w:bCs w:val="0"/>
      <w:i w:val="0"/>
      <w:iCs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0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8275F"/>
    <w:rPr>
      <w:color w:val="0000FF"/>
      <w:u w:val="single"/>
    </w:rPr>
  </w:style>
  <w:style w:type="paragraph" w:customStyle="1" w:styleId="1">
    <w:name w:val="1"/>
    <w:basedOn w:val="a"/>
    <w:rsid w:val="0028275F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i/>
      <w:iCs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"/>
    <w:basedOn w:val="a"/>
    <w:link w:val="a7"/>
    <w:rsid w:val="0028275F"/>
    <w:pPr>
      <w:spacing w:after="0" w:line="240" w:lineRule="auto"/>
    </w:pPr>
    <w:rPr>
      <w:rFonts w:ascii="Times New Roman" w:eastAsia="SimSun" w:hAnsi="Times New Roman" w:cs="Arial"/>
      <w:bCs/>
      <w:i/>
      <w:iCs/>
      <w:noProof/>
      <w:sz w:val="24"/>
      <w:szCs w:val="24"/>
      <w:lang w:eastAsia="zh-CN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"/>
    <w:link w:val="a6"/>
    <w:rsid w:val="0028275F"/>
    <w:rPr>
      <w:rFonts w:ascii="Times New Roman" w:eastAsia="SimSun" w:hAnsi="Times New Roman" w:cs="Arial"/>
      <w:bCs/>
      <w:i/>
      <w:iCs/>
      <w:noProof/>
      <w:sz w:val="24"/>
      <w:szCs w:val="24"/>
      <w:lang w:eastAsia="zh-CN"/>
    </w:rPr>
  </w:style>
  <w:style w:type="paragraph" w:styleId="a0">
    <w:name w:val="List Paragraph"/>
    <w:aliases w:val="UL,Абзац маркированнный,Булит 1,Table-Normal,RSHB_Table-Normal,Bullet List,FooterText,numbered,Paragraphe de liste1,lp1,Подпись рисунка,Маркированный список_уровень1,Num Bullet 1,Table Number Paragraph,Bullet Number,Bulletr List Paragraph"/>
    <w:basedOn w:val="a"/>
    <w:link w:val="a8"/>
    <w:qFormat/>
    <w:rsid w:val="0028275F"/>
    <w:pPr>
      <w:spacing w:after="0" w:line="240" w:lineRule="auto"/>
      <w:ind w:left="708"/>
    </w:pPr>
    <w:rPr>
      <w:rFonts w:ascii="NTHarmonica" w:eastAsia="Times New Roman" w:hAnsi="NTHarmonica" w:cs="Arial"/>
      <w:bCs/>
      <w:i/>
      <w:iCs/>
      <w:sz w:val="20"/>
      <w:szCs w:val="20"/>
      <w:lang w:eastAsia="ru-RU"/>
    </w:rPr>
  </w:style>
  <w:style w:type="character" w:customStyle="1" w:styleId="a8">
    <w:name w:val="Абзац списка Знак"/>
    <w:aliases w:val="UL Знак,Абзац маркированнный Знак,Булит 1 Знак,Table-Normal Знак,RSHB_Table-Normal Знак,Bullet List Знак,FooterText Знак,numbered Знак,Paragraphe de liste1 Знак,lp1 Знак,Подпись рисунка Знак,Маркированный список_уровень1 Знак"/>
    <w:link w:val="a0"/>
    <w:uiPriority w:val="99"/>
    <w:locked/>
    <w:rsid w:val="0028275F"/>
    <w:rPr>
      <w:rFonts w:ascii="NTHarmonica" w:eastAsia="Times New Roman" w:hAnsi="NTHarmonica" w:cs="Arial"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15ABD"/>
    <w:rPr>
      <w:rFonts w:ascii="Times New Roman" w:eastAsia="Times New Roman" w:hAnsi="Times New Roman" w:cs="Times New Roman"/>
      <w:b/>
      <w:szCs w:val="20"/>
    </w:rPr>
  </w:style>
  <w:style w:type="paragraph" w:styleId="a9">
    <w:name w:val="header"/>
    <w:basedOn w:val="a"/>
    <w:link w:val="aa"/>
    <w:uiPriority w:val="99"/>
    <w:unhideWhenUsed/>
    <w:rsid w:val="004E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E72B1"/>
  </w:style>
  <w:style w:type="paragraph" w:styleId="ab">
    <w:name w:val="footer"/>
    <w:basedOn w:val="a"/>
    <w:link w:val="ac"/>
    <w:uiPriority w:val="99"/>
    <w:unhideWhenUsed/>
    <w:rsid w:val="004E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E72B1"/>
  </w:style>
  <w:style w:type="paragraph" w:styleId="ad">
    <w:name w:val="Balloon Text"/>
    <w:basedOn w:val="a"/>
    <w:link w:val="ae"/>
    <w:uiPriority w:val="99"/>
    <w:semiHidden/>
    <w:unhideWhenUsed/>
    <w:rsid w:val="00E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924B0"/>
    <w:rPr>
      <w:rFonts w:ascii="Segoe UI" w:hAnsi="Segoe UI" w:cs="Segoe UI"/>
      <w:sz w:val="18"/>
      <w:szCs w:val="18"/>
    </w:rPr>
  </w:style>
  <w:style w:type="character" w:styleId="af">
    <w:name w:val="annotation reference"/>
    <w:basedOn w:val="a1"/>
    <w:unhideWhenUsed/>
    <w:rsid w:val="00E924B0"/>
    <w:rPr>
      <w:sz w:val="16"/>
      <w:szCs w:val="16"/>
    </w:rPr>
  </w:style>
  <w:style w:type="paragraph" w:styleId="af0">
    <w:name w:val="annotation text"/>
    <w:basedOn w:val="a"/>
    <w:link w:val="af1"/>
    <w:unhideWhenUsed/>
    <w:rsid w:val="00E92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2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24B0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F53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expo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Demenko@expoban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vy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2023-05-24T14:46:00Z</dcterms:created>
  <dcterms:modified xsi:type="dcterms:W3CDTF">2024-11-18T08:42:00Z</dcterms:modified>
</cp:coreProperties>
</file>