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1" w:rsidRDefault="00F57B0C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>
        <w:rPr>
          <w:noProof/>
          <w:color w:val="1F497D"/>
        </w:rPr>
        <w:drawing>
          <wp:inline distT="0" distB="0" distL="0" distR="0" wp14:anchorId="47D6DEA4" wp14:editId="19281585">
            <wp:extent cx="1499254" cy="276447"/>
            <wp:effectExtent l="0" t="0" r="5715" b="9525"/>
            <wp:docPr id="7" name="Рисунок 7" descr="cid:image001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16" cy="2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11" w:rsidRDefault="00F57B0C" w:rsidP="00794B11">
      <w:pPr>
        <w:ind w:right="-1"/>
        <w:jc w:val="right"/>
        <w:rPr>
          <w:szCs w:val="22"/>
        </w:rPr>
      </w:pPr>
      <w:r>
        <w:rPr>
          <w:noProof/>
          <w:color w:val="1F497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2941955</wp:posOffset>
            </wp:positionH>
            <wp:positionV relativeFrom="paragraph">
              <wp:posOffset>10795</wp:posOffset>
            </wp:positionV>
            <wp:extent cx="680720" cy="170180"/>
            <wp:effectExtent l="0" t="0" r="5080" b="1270"/>
            <wp:wrapNone/>
            <wp:docPr id="8" name="Рисунок 8" descr="cid:image002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2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96F1" wp14:editId="03D74EBB">
                <wp:simplePos x="0" y="0"/>
                <wp:positionH relativeFrom="margin">
                  <wp:posOffset>2522855</wp:posOffset>
                </wp:positionH>
                <wp:positionV relativeFrom="paragraph">
                  <wp:posOffset>138126</wp:posOffset>
                </wp:positionV>
                <wp:extent cx="1515745" cy="414655"/>
                <wp:effectExtent l="0" t="0" r="8255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74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7B0C" w:rsidRDefault="00F57B0C" w:rsidP="00F57B0C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F57B0C" w:rsidRPr="005C4039" w:rsidRDefault="00F57B0C" w:rsidP="00F57B0C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F57B0C" w:rsidRDefault="00F57B0C" w:rsidP="00F57B0C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C96F1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98.65pt;margin-top:10.9pt;width:119.3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" fillcolor="window" stroked="f" strokeweight=".5pt">
                <v:path arrowok="t"/>
                <v:textbox>
                  <w:txbxContent>
                    <w:p w:rsidR="00F57B0C" w:rsidRDefault="00F57B0C" w:rsidP="00F57B0C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F57B0C" w:rsidRPr="005C4039" w:rsidRDefault="00F57B0C" w:rsidP="00F57B0C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F57B0C" w:rsidRDefault="00F57B0C" w:rsidP="00F57B0C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7BFD" w:rsidRDefault="00E17BFD" w:rsidP="00F57B0C">
      <w:pPr>
        <w:ind w:right="-1"/>
        <w:jc w:val="center"/>
        <w:rPr>
          <w:szCs w:val="22"/>
        </w:rPr>
      </w:pPr>
    </w:p>
    <w:p w:rsidR="00E17BFD" w:rsidRDefault="00E17BFD" w:rsidP="00794B11">
      <w:pPr>
        <w:ind w:right="-1"/>
        <w:jc w:val="right"/>
        <w:rPr>
          <w:szCs w:val="22"/>
        </w:rPr>
      </w:pPr>
    </w:p>
    <w:p w:rsidR="00E17BFD" w:rsidRPr="00B36DF5" w:rsidRDefault="00E17BFD" w:rsidP="00794B11">
      <w:pPr>
        <w:ind w:right="-1"/>
        <w:jc w:val="right"/>
        <w:rPr>
          <w:szCs w:val="22"/>
        </w:rPr>
      </w:pPr>
    </w:p>
    <w:tbl>
      <w:tblPr>
        <w:tblW w:w="103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7F5A81" w:rsidRPr="006B5955" w:rsidTr="007F5A81">
        <w:tc>
          <w:tcPr>
            <w:tcW w:w="6096" w:type="dxa"/>
            <w:shd w:val="clear" w:color="auto" w:fill="auto"/>
          </w:tcPr>
          <w:p w:rsidR="007F5A81" w:rsidRPr="00EF6AD3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5A81" w:rsidRPr="006B5955" w:rsidRDefault="007F5A81" w:rsidP="00A323C3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7F5A81" w:rsidRPr="006B5955" w:rsidTr="007F5A81">
        <w:tc>
          <w:tcPr>
            <w:tcW w:w="6096" w:type="dxa"/>
            <w:shd w:val="clear" w:color="auto" w:fill="auto"/>
          </w:tcPr>
          <w:p w:rsidR="007F5A81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F5A81" w:rsidRPr="005E63B5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7F5A81" w:rsidRDefault="007F5A81" w:rsidP="00A323C3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7F5A81" w:rsidRPr="006B5955" w:rsidRDefault="007F5A81" w:rsidP="00A323C3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 w:rsidRPr="006B5955">
              <w:rPr>
                <w:sz w:val="20"/>
                <w:szCs w:val="20"/>
                <w:u w:val="single"/>
              </w:rPr>
              <w:t>«        »                  2024</w:t>
            </w:r>
            <w:r>
              <w:rPr>
                <w:sz w:val="20"/>
                <w:szCs w:val="20"/>
                <w:u w:val="single"/>
              </w:rPr>
              <w:t xml:space="preserve"> г</w:t>
            </w:r>
          </w:p>
        </w:tc>
      </w:tr>
    </w:tbl>
    <w:p w:rsidR="007F5A81" w:rsidRDefault="007F5A81" w:rsidP="00794B11">
      <w:pPr>
        <w:ind w:right="-1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794B11" w:rsidRPr="00E14443" w:rsidRDefault="00794B11" w:rsidP="00794B11">
      <w:pPr>
        <w:ind w:right="-1"/>
        <w:jc w:val="center"/>
        <w:rPr>
          <w:b/>
          <w:szCs w:val="22"/>
        </w:rPr>
      </w:pPr>
      <w:r w:rsidRPr="00B36DF5">
        <w:rPr>
          <w:b/>
          <w:szCs w:val="22"/>
        </w:rPr>
        <w:t>ТЕХНИЧЕСКОЕ ЗАДАНИЕ</w:t>
      </w:r>
      <w:r>
        <w:rPr>
          <w:b/>
          <w:szCs w:val="22"/>
        </w:rPr>
        <w:t xml:space="preserve"> </w:t>
      </w:r>
      <w:r w:rsidRPr="00F43AC8">
        <w:rPr>
          <w:b/>
          <w:color w:val="0D0D0D"/>
          <w:szCs w:val="22"/>
        </w:rPr>
        <w:t>№</w:t>
      </w:r>
      <w:r w:rsidR="009132BB">
        <w:rPr>
          <w:b/>
          <w:color w:val="0D0D0D"/>
          <w:szCs w:val="22"/>
        </w:rPr>
        <w:t xml:space="preserve"> </w:t>
      </w:r>
      <w:r w:rsidR="007547CE" w:rsidRPr="00937343">
        <w:rPr>
          <w:b/>
          <w:color w:val="0D0D0D"/>
          <w:szCs w:val="22"/>
        </w:rPr>
        <w:t>150524/2</w:t>
      </w:r>
    </w:p>
    <w:p w:rsidR="00794B11" w:rsidRDefault="00794B11" w:rsidP="007F5A81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szCs w:val="22"/>
          <w:lang w:val="ru-RU"/>
        </w:rPr>
      </w:pPr>
      <w:r w:rsidRPr="00277227">
        <w:rPr>
          <w:rFonts w:ascii="Times New Roman" w:hAnsi="Times New Roman" w:cs="Times New Roman"/>
          <w:szCs w:val="22"/>
          <w:lang w:val="ru-RU"/>
        </w:rPr>
        <w:t>на выполнение</w:t>
      </w:r>
      <w:r w:rsidR="00EF6AD3" w:rsidRPr="00277227">
        <w:rPr>
          <w:rFonts w:ascii="Times New Roman" w:hAnsi="Times New Roman" w:cs="Times New Roman"/>
          <w:szCs w:val="22"/>
          <w:lang w:val="ru-RU"/>
        </w:rPr>
        <w:t xml:space="preserve"> комплекса</w:t>
      </w:r>
      <w:r w:rsidRPr="00277227">
        <w:rPr>
          <w:rFonts w:ascii="Times New Roman" w:hAnsi="Times New Roman" w:cs="Times New Roman"/>
          <w:szCs w:val="22"/>
          <w:lang w:val="ru-RU"/>
        </w:rPr>
        <w:t xml:space="preserve"> </w:t>
      </w:r>
      <w:r w:rsidR="00E14443">
        <w:rPr>
          <w:rFonts w:ascii="Times New Roman" w:hAnsi="Times New Roman" w:cs="Times New Roman"/>
          <w:szCs w:val="22"/>
          <w:lang w:val="ru-RU"/>
        </w:rPr>
        <w:t>строительно</w:t>
      </w:r>
      <w:r w:rsidR="00653203" w:rsidRPr="005E7128">
        <w:rPr>
          <w:rFonts w:ascii="Times New Roman" w:hAnsi="Times New Roman" w:cs="Times New Roman"/>
          <w:szCs w:val="22"/>
          <w:lang w:val="ru-RU"/>
        </w:rPr>
        <w:t>-</w:t>
      </w:r>
      <w:r w:rsidR="00E14443">
        <w:rPr>
          <w:rFonts w:ascii="Times New Roman" w:hAnsi="Times New Roman" w:cs="Times New Roman"/>
          <w:szCs w:val="22"/>
          <w:lang w:val="ru-RU"/>
        </w:rPr>
        <w:t>монтажных</w:t>
      </w:r>
      <w:r w:rsidRPr="00277227">
        <w:rPr>
          <w:rFonts w:ascii="Times New Roman" w:hAnsi="Times New Roman" w:cs="Times New Roman"/>
          <w:szCs w:val="22"/>
          <w:lang w:val="ru-RU"/>
        </w:rPr>
        <w:t xml:space="preserve"> работ</w:t>
      </w:r>
      <w:r w:rsidR="005E7128" w:rsidRPr="005E7128">
        <w:rPr>
          <w:rFonts w:ascii="Times New Roman" w:hAnsi="Times New Roman" w:cs="Times New Roman"/>
          <w:szCs w:val="22"/>
          <w:lang w:val="ru-RU"/>
        </w:rPr>
        <w:t xml:space="preserve"> </w:t>
      </w:r>
      <w:r w:rsidR="002A517C">
        <w:rPr>
          <w:rFonts w:ascii="Times New Roman" w:hAnsi="Times New Roman" w:cs="Times New Roman"/>
          <w:szCs w:val="22"/>
          <w:lang w:val="ru-RU"/>
        </w:rPr>
        <w:t xml:space="preserve">по устройству </w:t>
      </w:r>
      <w:r w:rsidR="00A9662A">
        <w:rPr>
          <w:rFonts w:ascii="Times New Roman" w:hAnsi="Times New Roman" w:cs="Times New Roman"/>
          <w:szCs w:val="22"/>
          <w:lang w:val="ru-RU"/>
        </w:rPr>
        <w:t>внутренних</w:t>
      </w:r>
      <w:r w:rsidR="005E7128">
        <w:rPr>
          <w:rFonts w:ascii="Times New Roman" w:hAnsi="Times New Roman" w:cs="Times New Roman"/>
          <w:szCs w:val="22"/>
          <w:lang w:val="ru-RU"/>
        </w:rPr>
        <w:t xml:space="preserve"> сис</w:t>
      </w:r>
      <w:r w:rsidR="007F5A81">
        <w:rPr>
          <w:rFonts w:ascii="Times New Roman" w:hAnsi="Times New Roman" w:cs="Times New Roman"/>
          <w:szCs w:val="22"/>
          <w:lang w:val="ru-RU"/>
        </w:rPr>
        <w:t>тем водоснабжения и канализации на объекте</w:t>
      </w:r>
      <w:r w:rsidRPr="00B36DF5">
        <w:rPr>
          <w:rFonts w:ascii="Times New Roman" w:hAnsi="Times New Roman" w:cs="Times New Roman"/>
          <w:szCs w:val="22"/>
          <w:lang w:val="ru-RU"/>
        </w:rPr>
        <w:t xml:space="preserve"> «Терминал по перевалке минеральных удобрений в морском торговом порту Усть-Луга</w:t>
      </w:r>
      <w:r>
        <w:rPr>
          <w:rFonts w:ascii="Times New Roman" w:hAnsi="Times New Roman" w:cs="Times New Roman"/>
          <w:szCs w:val="22"/>
          <w:lang w:val="ru-RU"/>
        </w:rPr>
        <w:t>. Береговые объекты терминала</w:t>
      </w:r>
      <w:r w:rsidRPr="00B36DF5">
        <w:rPr>
          <w:rFonts w:ascii="Times New Roman" w:hAnsi="Times New Roman" w:cs="Times New Roman"/>
          <w:szCs w:val="22"/>
          <w:lang w:val="ru-RU"/>
        </w:rPr>
        <w:t>»</w:t>
      </w:r>
    </w:p>
    <w:p w:rsidR="00891FCB" w:rsidRPr="00A9662A" w:rsidRDefault="00891FCB" w:rsidP="007F5A81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eastAsia="Calibri"/>
          <w:bCs/>
          <w:lang w:val="ru-RU"/>
        </w:rPr>
      </w:pPr>
    </w:p>
    <w:tbl>
      <w:tblPr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94B11" w:rsidRPr="00DD0D4C" w:rsidTr="007F5A81">
        <w:trPr>
          <w:trHeight w:val="44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7F5A8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0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794B11" w:rsidRPr="00DD0D4C" w:rsidTr="00763E5E">
        <w:trPr>
          <w:trHeight w:val="3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F5A81" w:rsidP="00794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5476F">
              <w:t>Заказчик - Общество с ограниченной ответственностью «</w:t>
            </w:r>
            <w:proofErr w:type="spellStart"/>
            <w:r w:rsidRPr="0075476F">
              <w:t>ЕвроХим</w:t>
            </w:r>
            <w:proofErr w:type="spellEnd"/>
            <w:r w:rsidRPr="0075476F">
              <w:t xml:space="preserve"> Терминал Усть-Луга» (ООО «ЕТУ»).</w:t>
            </w:r>
          </w:p>
        </w:tc>
      </w:tr>
      <w:tr w:rsidR="00794B11" w:rsidRPr="00DD0D4C" w:rsidTr="00763E5E">
        <w:trPr>
          <w:trHeight w:val="3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jc w:val="both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Подрядчик – выбирается по результатам закупочной процедуры.</w:t>
            </w:r>
          </w:p>
        </w:tc>
      </w:tr>
      <w:tr w:rsidR="00794B11" w:rsidRPr="00DD0D4C" w:rsidTr="007F5A81">
        <w:trPr>
          <w:trHeight w:val="37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rPr>
                <w:b/>
                <w:bCs/>
                <w:color w:val="000000"/>
                <w:sz w:val="22"/>
                <w:szCs w:val="22"/>
              </w:rPr>
            </w:pPr>
            <w:r w:rsidRPr="00DD0D4C">
              <w:rPr>
                <w:b/>
                <w:bCs/>
                <w:color w:val="000000"/>
                <w:sz w:val="22"/>
                <w:szCs w:val="22"/>
              </w:rPr>
              <w:t>2. ОСНОВАНИЕ</w:t>
            </w:r>
          </w:p>
        </w:tc>
      </w:tr>
      <w:tr w:rsidR="00794B11" w:rsidRPr="00DD0D4C" w:rsidTr="00763E5E">
        <w:trPr>
          <w:trHeight w:val="3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F5A81" w:rsidP="007F5A81">
            <w:pPr>
              <w:jc w:val="both"/>
              <w:rPr>
                <w:color w:val="000000"/>
                <w:sz w:val="22"/>
                <w:szCs w:val="22"/>
              </w:rPr>
            </w:pPr>
            <w:r w:rsidRPr="0075476F">
              <w:rPr>
                <w:color w:val="000000"/>
              </w:rPr>
              <w:t xml:space="preserve">Проектная документация </w:t>
            </w:r>
            <w:r w:rsidRPr="0075476F">
              <w:t xml:space="preserve">шифр </w:t>
            </w:r>
            <w:r>
              <w:t>1632-2021-00-ИОС5,</w:t>
            </w:r>
            <w:r w:rsidRPr="00241B86">
              <w:t xml:space="preserve"> </w:t>
            </w:r>
            <w:r w:rsidRPr="0075476F">
              <w:t>разработанная ООО «</w:t>
            </w:r>
            <w:proofErr w:type="spellStart"/>
            <w:r w:rsidRPr="0075476F">
              <w:t>Морстройтехнология</w:t>
            </w:r>
            <w:proofErr w:type="spellEnd"/>
            <w:r w:rsidRPr="0075476F">
              <w:t>» г. Санкт-Петербург в 2022-2023 гг., получившая положительное заключение экспертизы</w:t>
            </w:r>
          </w:p>
        </w:tc>
      </w:tr>
      <w:tr w:rsidR="00794B11" w:rsidRPr="00DD0D4C" w:rsidTr="00B40A66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D4C">
              <w:rPr>
                <w:b/>
                <w:bCs/>
                <w:color w:val="000000"/>
                <w:sz w:val="22"/>
                <w:szCs w:val="22"/>
              </w:rPr>
              <w:t>3. ВИД СТРОИТЕЛЬСТВА</w:t>
            </w:r>
          </w:p>
        </w:tc>
      </w:tr>
      <w:tr w:rsidR="00794B11" w:rsidRPr="00DD0D4C" w:rsidTr="00763E5E">
        <w:trPr>
          <w:trHeight w:val="3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B40A66" w:rsidP="00F57B0C">
            <w:pPr>
              <w:jc w:val="both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Новое строительство</w:t>
            </w:r>
          </w:p>
        </w:tc>
      </w:tr>
      <w:tr w:rsidR="00794B11" w:rsidRPr="00DD0D4C" w:rsidTr="007F5A81">
        <w:trPr>
          <w:trHeight w:val="3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D4C">
              <w:rPr>
                <w:b/>
                <w:bCs/>
                <w:color w:val="000000"/>
                <w:sz w:val="22"/>
                <w:szCs w:val="22"/>
              </w:rPr>
              <w:t>4. РАЙОН, ПУНКТ И ПЛОЩАДКА СТРОИТЕЛЬСТВА</w:t>
            </w:r>
          </w:p>
        </w:tc>
      </w:tr>
      <w:tr w:rsidR="007F5A81" w:rsidRPr="00DD0D4C" w:rsidTr="00763E5E">
        <w:trPr>
          <w:trHeight w:val="6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F5A81" w:rsidRPr="00DD0D4C" w:rsidRDefault="007F5A81" w:rsidP="007F5A8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F5A81" w:rsidRPr="0075476F" w:rsidRDefault="007F5A81" w:rsidP="007F5A81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Усть-Луга, Комплексы генеральных грузов</w:t>
            </w:r>
          </w:p>
        </w:tc>
      </w:tr>
      <w:tr w:rsidR="00794B11" w:rsidRPr="00DD0D4C" w:rsidTr="007F5A81">
        <w:trPr>
          <w:trHeight w:val="42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D4C">
              <w:rPr>
                <w:b/>
                <w:bCs/>
                <w:color w:val="000000"/>
                <w:sz w:val="22"/>
                <w:szCs w:val="22"/>
              </w:rPr>
              <w:t>5. ХАРАКТЕРИСТИКА ОБЪЕКТА</w:t>
            </w:r>
          </w:p>
        </w:tc>
      </w:tr>
      <w:tr w:rsidR="007F5A81" w:rsidRPr="00DD0D4C" w:rsidTr="00763E5E">
        <w:trPr>
          <w:trHeight w:val="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F5A81" w:rsidRPr="00DD0D4C" w:rsidRDefault="007F5A81" w:rsidP="007F5A8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F5A81" w:rsidRPr="0075476F" w:rsidRDefault="007F5A81" w:rsidP="007F5A81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фосфатов, сжиженного аммиака. Экспортные грузы поступают на Терминал ж/д транспортом со станции </w:t>
            </w:r>
            <w:proofErr w:type="spellStart"/>
            <w:r w:rsidRPr="0075476F">
              <w:t>Лужская</w:t>
            </w:r>
            <w:proofErr w:type="spellEnd"/>
            <w:r w:rsidRPr="0075476F">
              <w:t xml:space="preserve"> – Генеральная, а также морем в судах</w:t>
            </w:r>
            <w:r w:rsidR="000A31C3">
              <w:t xml:space="preserve"> (</w:t>
            </w:r>
            <w:proofErr w:type="spellStart"/>
            <w:r w:rsidR="000A31C3" w:rsidRPr="000A31C3">
              <w:t>навалочник</w:t>
            </w:r>
            <w:proofErr w:type="spellEnd"/>
            <w:r w:rsidR="000A31C3">
              <w:t>)</w:t>
            </w:r>
            <w:r w:rsidRPr="0075476F">
              <w:t xml:space="preserve"> и перегружаются по следующим маршрутам: вагон – склад – судно, вагон – судно, склад – склад. 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Режим работы: круглосуточный, круглогодичный;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Средняя годовая скорость ветра 4,7 м/с;</w:t>
            </w:r>
          </w:p>
          <w:p w:rsidR="007F5A81" w:rsidRPr="0075476F" w:rsidRDefault="007F5A81" w:rsidP="007F5A81">
            <w:pPr>
              <w:ind w:left="40"/>
              <w:jc w:val="both"/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</w:tc>
      </w:tr>
      <w:tr w:rsidR="00794B11" w:rsidRPr="00DD0D4C" w:rsidTr="00B40A66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D4C">
              <w:rPr>
                <w:b/>
                <w:bCs/>
                <w:color w:val="000000"/>
                <w:sz w:val="22"/>
                <w:szCs w:val="22"/>
              </w:rPr>
              <w:t>6. ЦЕЛЬ ЗАКУПКИ</w:t>
            </w:r>
          </w:p>
        </w:tc>
      </w:tr>
      <w:tr w:rsidR="00794B11" w:rsidRPr="00DD0D4C" w:rsidTr="00763E5E">
        <w:trPr>
          <w:trHeight w:val="2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81260A" w:rsidP="007F5A81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F5A81">
              <w:rPr>
                <w:color w:val="000000"/>
                <w:sz w:val="22"/>
                <w:szCs w:val="22"/>
              </w:rPr>
              <w:t>вод в эксплуатацию внутренних систем водоснабжения и канализации</w:t>
            </w:r>
            <w:r w:rsidR="0019108A" w:rsidRPr="00DD0D4C">
              <w:rPr>
                <w:color w:val="000000"/>
                <w:sz w:val="22"/>
                <w:szCs w:val="22"/>
              </w:rPr>
              <w:t xml:space="preserve"> в рамках реализации проекта «</w:t>
            </w:r>
            <w:r w:rsidR="0019108A" w:rsidRPr="00DD0D4C">
              <w:rPr>
                <w:sz w:val="22"/>
                <w:szCs w:val="22"/>
              </w:rPr>
              <w:t>Терминал по перевалке минеральных удобрений в морском торговом порту Усть-Луга. Береговые объекты терминала</w:t>
            </w:r>
            <w:r w:rsidR="0019108A" w:rsidRPr="00DD0D4C">
              <w:rPr>
                <w:color w:val="000000"/>
                <w:sz w:val="22"/>
                <w:szCs w:val="22"/>
              </w:rPr>
              <w:t>»</w:t>
            </w:r>
            <w:r w:rsidR="00794B11" w:rsidRPr="00DD0D4C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</w:tr>
      <w:tr w:rsidR="00251181" w:rsidRPr="00DD0D4C" w:rsidTr="00B40A66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251181" w:rsidRPr="0075476F" w:rsidRDefault="00251181" w:rsidP="00251181">
            <w:pPr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7. СОСТАВ РАБОТ, ОБОРУДОВАНИЯ</w:t>
            </w:r>
            <w:r w:rsidRPr="0075476F">
              <w:rPr>
                <w:b/>
              </w:rPr>
              <w:t xml:space="preserve"> И МАТЕРИАЛОВ</w:t>
            </w:r>
          </w:p>
        </w:tc>
      </w:tr>
      <w:tr w:rsidR="00794B1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94B11" w:rsidRPr="00DD0D4C" w:rsidRDefault="00794B11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:rsidR="009B48AE" w:rsidRPr="009B48AE" w:rsidRDefault="009B48AE" w:rsidP="00DF4795">
            <w:pPr>
              <w:pStyle w:val="a7"/>
              <w:rPr>
                <w:lang w:val="ru-RU"/>
              </w:rPr>
            </w:pPr>
            <w:r w:rsidRPr="009B48AE">
              <w:rPr>
                <w:lang w:val="ru-RU"/>
              </w:rPr>
              <w:t xml:space="preserve">Настоящее Техническое задание предусматривает выполнение комплекса строительно-монтажных работ по устройству </w:t>
            </w:r>
            <w:r w:rsidR="00DB4D92">
              <w:rPr>
                <w:lang w:val="ru-RU"/>
              </w:rPr>
              <w:t>внутренних</w:t>
            </w:r>
            <w:r w:rsidRPr="009B48AE">
              <w:rPr>
                <w:lang w:val="ru-RU"/>
              </w:rPr>
              <w:t xml:space="preserve"> сетей водоснабжения и канализации 3 этап согласно рабочей документации</w:t>
            </w:r>
            <w:r w:rsidR="002E3207">
              <w:rPr>
                <w:lang w:val="ru-RU"/>
              </w:rPr>
              <w:t xml:space="preserve"> внутренних систем водоснабжения и канализации</w:t>
            </w:r>
            <w:r w:rsidRPr="009B48AE">
              <w:rPr>
                <w:lang w:val="ru-RU"/>
              </w:rPr>
              <w:t xml:space="preserve">: </w:t>
            </w:r>
          </w:p>
          <w:p w:rsidR="00DF4795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1632-2021-3.1-ВК</w:t>
            </w:r>
            <w:r>
              <w:rPr>
                <w:lang w:val="ru-RU"/>
              </w:rPr>
              <w:t xml:space="preserve"> «</w:t>
            </w:r>
            <w:r w:rsidRPr="009B48AE">
              <w:rPr>
                <w:lang w:val="ru-RU"/>
              </w:rPr>
              <w:t>Крытый склад №1</w:t>
            </w:r>
            <w:r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DF4795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1632-2021-3.2-ВК</w:t>
            </w:r>
            <w:r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Крытый склад №2</w:t>
            </w:r>
            <w:r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DF4795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1632-2021-2.1.1-ВК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№11</w:t>
            </w:r>
            <w:r w:rsidR="002E3207"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DF4795" w:rsidRPr="00DF4795" w:rsidRDefault="00DF4795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1632-2021-2.1.2, 2.1.7-ВК1</w:t>
            </w:r>
            <w:r>
              <w:rPr>
                <w:lang w:val="ru-RU"/>
              </w:rPr>
              <w:t xml:space="preserve"> «</w:t>
            </w:r>
            <w:r w:rsidRPr="00DF4795">
              <w:rPr>
                <w:lang w:val="ru-RU"/>
              </w:rPr>
              <w:t>Конвейерные галереи №2 и №7 в осях 1-7</w:t>
            </w:r>
            <w:r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сооружение галереи №2 и отдельно №7)</w:t>
            </w:r>
            <w:r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1632-2021-2.1.2, 2.1.7-ВК2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Конвейерные галереи №2 и №7 в осях 8-14</w:t>
            </w:r>
            <w:r w:rsidR="002E3207"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сооружение галереи №2 и отдельно №7)</w:t>
            </w:r>
            <w:r w:rsidR="00311AE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1632-2021-2.1.2, 2.1.7-ВК3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Конвейерные галереи №2 и №7 в осях 15-23</w:t>
            </w:r>
            <w:r w:rsidR="002E3207"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сооружение галереи №2 и отдельно №7)</w:t>
            </w:r>
            <w:r w:rsidR="00311AE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1632-2021-2.1.3-ВК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№3</w:t>
            </w:r>
            <w:r w:rsidR="002E3207"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1632-2021-2.1.4-ВК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</w:t>
            </w:r>
            <w:r w:rsidR="002E3207">
              <w:rPr>
                <w:lang w:val="ru-RU"/>
              </w:rPr>
              <w:t>4»</w:t>
            </w:r>
            <w:r w:rsidR="00DF479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1632-2021-2.1.5-ВК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№5</w:t>
            </w:r>
            <w:r w:rsidR="002E3207"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1632-2021-2.2.4, 2.1.6-ВК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Пересыпная ста</w:t>
            </w:r>
            <w:r w:rsidR="002E3207">
              <w:rPr>
                <w:lang w:val="ru-RU"/>
              </w:rPr>
              <w:t>нция №4, конвейерная галерея №6»</w:t>
            </w:r>
            <w:r w:rsidR="00311AE5">
              <w:rPr>
                <w:lang w:val="ru-RU"/>
              </w:rPr>
              <w:t xml:space="preserve"> (отдельно сооружение галереи №4 и отдельно №6)</w:t>
            </w:r>
            <w:r w:rsidR="00DF479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1632-2021-2.1.11-ВК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№11</w:t>
            </w:r>
            <w:r w:rsidR="002E3207">
              <w:rPr>
                <w:lang w:val="ru-RU"/>
              </w:rPr>
              <w:t>»</w:t>
            </w:r>
            <w:r w:rsidR="00DF479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1632-2021-2.1.12-ВК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>Конвейерная галерея №1</w:t>
            </w:r>
            <w:r w:rsidR="002E3207">
              <w:rPr>
                <w:lang w:val="ru-RU"/>
              </w:rPr>
              <w:t>2»</w:t>
            </w:r>
            <w:r w:rsidR="00DF4795" w:rsidRPr="00DF4795">
              <w:rPr>
                <w:lang w:val="ru-RU"/>
              </w:rPr>
              <w:t>;</w:t>
            </w:r>
          </w:p>
          <w:p w:rsidR="00311AE5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1632-2021-2.1.0, 2.2.1-ВК</w:t>
            </w:r>
            <w:r w:rsidR="002E3207">
              <w:rPr>
                <w:lang w:val="ru-RU"/>
              </w:rPr>
              <w:t xml:space="preserve"> «</w:t>
            </w:r>
            <w:r w:rsidR="002E3207" w:rsidRPr="002E3207">
              <w:rPr>
                <w:lang w:val="ru-RU"/>
              </w:rPr>
              <w:t xml:space="preserve">Тоннель. </w:t>
            </w:r>
            <w:r w:rsidR="002E3207" w:rsidRPr="00DF4795">
              <w:rPr>
                <w:lang w:val="ru-RU"/>
              </w:rPr>
              <w:t>Пересыпная станция №1</w:t>
            </w:r>
            <w:r w:rsidR="002E3207"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сооружение тоннеля и пересыпной станции №1)</w:t>
            </w:r>
            <w:r w:rsidR="00311AE5" w:rsidRPr="00DF4795">
              <w:rPr>
                <w:lang w:val="ru-RU"/>
              </w:rPr>
              <w:t>;</w:t>
            </w:r>
          </w:p>
          <w:p w:rsidR="009B48AE" w:rsidRPr="00DF4795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1632-2021-2.2.2-ВК</w:t>
            </w:r>
            <w:r w:rsidR="00DF4795">
              <w:rPr>
                <w:lang w:val="ru-RU"/>
              </w:rPr>
              <w:t xml:space="preserve"> «Пересыпная станция №2»</w:t>
            </w:r>
            <w:r w:rsidR="00DF4795" w:rsidRPr="00DF4795">
              <w:rPr>
                <w:lang w:val="ru-RU"/>
              </w:rPr>
              <w:t>;</w:t>
            </w:r>
          </w:p>
          <w:p w:rsidR="009B48AE" w:rsidRPr="002C1BAF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1632-2021-2.2.3-ВК</w:t>
            </w:r>
            <w:r w:rsidR="00DF4795">
              <w:rPr>
                <w:lang w:val="ru-RU"/>
              </w:rPr>
              <w:t xml:space="preserve"> «Пересыпная станция №3»</w:t>
            </w:r>
            <w:r w:rsidR="002C1BAF" w:rsidRPr="002C1BAF">
              <w:rPr>
                <w:lang w:val="ru-RU"/>
              </w:rPr>
              <w:t>;</w:t>
            </w:r>
          </w:p>
          <w:p w:rsidR="009B48AE" w:rsidRPr="002C1BAF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1632-2021-2.2.6-ВК</w:t>
            </w:r>
            <w:r w:rsidR="00DF4795">
              <w:rPr>
                <w:lang w:val="ru-RU"/>
              </w:rPr>
              <w:t xml:space="preserve"> «</w:t>
            </w:r>
            <w:r w:rsidR="00DF4795" w:rsidRPr="00DF4795">
              <w:rPr>
                <w:lang w:val="ru-RU"/>
              </w:rPr>
              <w:t>Пересыпная станция №6</w:t>
            </w:r>
            <w:r w:rsidR="00DF4795">
              <w:rPr>
                <w:lang w:val="ru-RU"/>
              </w:rPr>
              <w:t>»</w:t>
            </w:r>
            <w:r w:rsidR="002C1BAF" w:rsidRPr="002C1BAF">
              <w:rPr>
                <w:lang w:val="ru-RU"/>
              </w:rPr>
              <w:t>;</w:t>
            </w:r>
          </w:p>
          <w:p w:rsidR="009B48AE" w:rsidRPr="002C1BAF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1632-2021-1.1, 1.2-ВК</w:t>
            </w:r>
            <w:r w:rsidR="00DF4795">
              <w:rPr>
                <w:lang w:val="ru-RU"/>
              </w:rPr>
              <w:t xml:space="preserve"> «Станция разгрузки вагонов. </w:t>
            </w:r>
            <w:r w:rsidR="00DF4795" w:rsidRPr="00DF4795">
              <w:rPr>
                <w:lang w:val="ru-RU"/>
              </w:rPr>
              <w:t>Трансбордер</w:t>
            </w:r>
            <w:r w:rsidR="00DF4795"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здание станции разгрузки вагонов и здание Трансбордера)</w:t>
            </w:r>
            <w:r w:rsidR="00311AE5" w:rsidRPr="00DF4795">
              <w:rPr>
                <w:lang w:val="ru-RU"/>
              </w:rPr>
              <w:t>;</w:t>
            </w:r>
          </w:p>
          <w:p w:rsidR="009B48AE" w:rsidRPr="002C1BAF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DF4795">
              <w:rPr>
                <w:lang w:val="ru-RU"/>
              </w:rPr>
              <w:t>1632-2021-2.2.7-ВК</w:t>
            </w:r>
            <w:r w:rsidR="00DF4795">
              <w:rPr>
                <w:lang w:val="ru-RU"/>
              </w:rPr>
              <w:t xml:space="preserve"> «</w:t>
            </w:r>
            <w:r w:rsidR="00DF4795" w:rsidRPr="00DF4795">
              <w:rPr>
                <w:lang w:val="ru-RU"/>
              </w:rPr>
              <w:t>Приводная станция</w:t>
            </w:r>
            <w:r w:rsidR="00DF4795">
              <w:rPr>
                <w:lang w:val="ru-RU"/>
              </w:rPr>
              <w:t>»</w:t>
            </w:r>
            <w:r w:rsidR="002C1BAF" w:rsidRPr="002C1BAF">
              <w:rPr>
                <w:lang w:val="ru-RU"/>
              </w:rPr>
              <w:t>;</w:t>
            </w:r>
          </w:p>
          <w:p w:rsidR="009B48AE" w:rsidRPr="002C1BAF" w:rsidRDefault="009B48AE" w:rsidP="00DF4795">
            <w:pPr>
              <w:pStyle w:val="a7"/>
              <w:spacing w:after="0" w:line="276" w:lineRule="auto"/>
              <w:rPr>
                <w:lang w:val="ru-RU"/>
              </w:rPr>
            </w:pPr>
            <w:r w:rsidRPr="009B48AE">
              <w:rPr>
                <w:lang w:val="ru-RU"/>
              </w:rPr>
              <w:t>1632-2021-2.2.5, 2.1.13-ВК</w:t>
            </w:r>
            <w:r w:rsidR="00DF4795">
              <w:rPr>
                <w:lang w:val="ru-RU"/>
              </w:rPr>
              <w:t xml:space="preserve"> «</w:t>
            </w:r>
            <w:r w:rsidR="00DF4795" w:rsidRPr="00DF4795">
              <w:rPr>
                <w:lang w:val="ru-RU"/>
              </w:rPr>
              <w:t>Пересыпная станция №5 и конвейерная галерея №13</w:t>
            </w:r>
            <w:r w:rsidR="00DF4795">
              <w:rPr>
                <w:lang w:val="ru-RU"/>
              </w:rPr>
              <w:t>»</w:t>
            </w:r>
            <w:r w:rsidR="00311AE5">
              <w:rPr>
                <w:lang w:val="ru-RU"/>
              </w:rPr>
              <w:t xml:space="preserve"> (отдельно </w:t>
            </w:r>
            <w:r w:rsidR="00BE7A56">
              <w:rPr>
                <w:lang w:val="ru-RU"/>
              </w:rPr>
              <w:t>сооружение пересыпной</w:t>
            </w:r>
            <w:r w:rsidR="00311AE5">
              <w:rPr>
                <w:lang w:val="ru-RU"/>
              </w:rPr>
              <w:t xml:space="preserve"> станции </w:t>
            </w:r>
            <w:r w:rsidR="00BE7A56">
              <w:rPr>
                <w:lang w:val="ru-RU"/>
              </w:rPr>
              <w:t xml:space="preserve">№5 </w:t>
            </w:r>
            <w:r w:rsidR="00311AE5">
              <w:rPr>
                <w:lang w:val="ru-RU"/>
              </w:rPr>
              <w:t>и</w:t>
            </w:r>
            <w:r w:rsidR="00BE7A56">
              <w:rPr>
                <w:lang w:val="ru-RU"/>
              </w:rPr>
              <w:t xml:space="preserve"> отдельно</w:t>
            </w:r>
            <w:r w:rsidR="00311AE5">
              <w:rPr>
                <w:lang w:val="ru-RU"/>
              </w:rPr>
              <w:t xml:space="preserve"> </w:t>
            </w:r>
            <w:r w:rsidR="00BE7A56">
              <w:rPr>
                <w:lang w:val="ru-RU"/>
              </w:rPr>
              <w:t>сооружение конвейерной галереи №13</w:t>
            </w:r>
            <w:r w:rsidR="00311AE5">
              <w:rPr>
                <w:lang w:val="ru-RU"/>
              </w:rPr>
              <w:t>)</w:t>
            </w:r>
            <w:r w:rsidR="002C1BAF" w:rsidRPr="002C1BAF">
              <w:rPr>
                <w:lang w:val="ru-RU"/>
              </w:rPr>
              <w:t>.</w:t>
            </w:r>
          </w:p>
          <w:p w:rsidR="004B75C4" w:rsidRPr="00DD0D4C" w:rsidRDefault="009B48AE" w:rsidP="009B48AE">
            <w:pPr>
              <w:jc w:val="both"/>
              <w:rPr>
                <w:color w:val="000000"/>
                <w:sz w:val="22"/>
                <w:szCs w:val="22"/>
                <w:u w:color="000000"/>
              </w:rPr>
            </w:pPr>
            <w:r w:rsidRPr="00763E5E">
              <w:rPr>
                <w:sz w:val="22"/>
              </w:rPr>
              <w:t>В объём работ входит закупка, транспортировка (включая погрузочно-разгрузочные работы), хранение всех материалов, необходимых для выполнения работ</w:t>
            </w:r>
            <w:r w:rsidR="00763E5E">
              <w:rPr>
                <w:sz w:val="22"/>
              </w:rPr>
              <w:t>.</w:t>
            </w:r>
          </w:p>
        </w:tc>
      </w:tr>
      <w:tr w:rsidR="00761A1B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761A1B" w:rsidRPr="00DD0D4C" w:rsidRDefault="00761A1B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F21512" w:rsidRPr="00F21512" w:rsidRDefault="00F21512" w:rsidP="00F21512">
            <w:pPr>
              <w:pStyle w:val="a7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2151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F21512" w:rsidRPr="00F21512" w:rsidRDefault="00F21512" w:rsidP="00F21512">
            <w:pPr>
              <w:pStyle w:val="a7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2151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Перед формированием ТКП рекомендовано посещение строительной площадки Подрядчиком. </w:t>
            </w:r>
          </w:p>
          <w:p w:rsidR="00E249CD" w:rsidRPr="00DD0D4C" w:rsidRDefault="00F21512" w:rsidP="00F21512">
            <w:pPr>
              <w:pStyle w:val="a7"/>
              <w:spacing w:after="0" w:line="240" w:lineRule="auto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21512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Стоимость ТКП должна быть оформлена как сводка затрат (необходимо заполнить Форму ТКП)</w:t>
            </w:r>
            <w:r w:rsidR="00BE7A56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BE7A56" w:rsidRPr="00BE7A56">
              <w:rPr>
                <w:rFonts w:eastAsia="Times New Roman" w:cs="Times New Roman"/>
                <w:sz w:val="22"/>
                <w:szCs w:val="22"/>
                <w:u w:val="single"/>
                <w:lang w:val="ru-RU" w:eastAsia="ru-RU"/>
              </w:rPr>
              <w:t>на каждое сооружение/здание отдельно</w:t>
            </w:r>
            <w:r w:rsidRPr="00F2151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761A1B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761A1B" w:rsidRPr="00DD0D4C" w:rsidRDefault="00761A1B" w:rsidP="00F57B0C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DD0D4C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761A1B" w:rsidRPr="00DD0D4C" w:rsidRDefault="00F21512" w:rsidP="00A10EFD">
            <w:pPr>
              <w:jc w:val="both"/>
              <w:rPr>
                <w:sz w:val="22"/>
                <w:szCs w:val="22"/>
              </w:rPr>
            </w:pPr>
            <w:r w:rsidRPr="00F21512">
              <w:rPr>
                <w:sz w:val="22"/>
                <w:szCs w:val="22"/>
              </w:rPr>
              <w:t>Работы должны быть выполнены в полном объеме в соответствии с настоящим техническим заданием и рабочей документацией,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</w:p>
        </w:tc>
      </w:tr>
      <w:tr w:rsidR="00251181" w:rsidRPr="00251181" w:rsidTr="00F57B0C">
        <w:trPr>
          <w:trHeight w:val="4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251181" w:rsidRPr="00251181" w:rsidRDefault="00251181" w:rsidP="00F57B0C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1181">
              <w:rPr>
                <w:b/>
                <w:bCs/>
                <w:color w:val="000000"/>
                <w:sz w:val="22"/>
                <w:szCs w:val="22"/>
              </w:rPr>
              <w:t>8. ОБЩИЕ ТРЕБОВАНИЯ К ВЫПОЛНЕНИЮ РАБОТ</w:t>
            </w:r>
          </w:p>
        </w:tc>
      </w:tr>
      <w:tr w:rsidR="0025118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51181" w:rsidRPr="00DD0D4C" w:rsidRDefault="00D42E71" w:rsidP="0025118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51181" w:rsidRPr="00763E5E" w:rsidRDefault="00251181" w:rsidP="00251181">
            <w:pPr>
              <w:pStyle w:val="a7"/>
              <w:spacing w:after="0"/>
              <w:rPr>
                <w:sz w:val="22"/>
                <w:szCs w:val="22"/>
                <w:lang w:val="ru-RU"/>
              </w:rPr>
            </w:pPr>
            <w:r w:rsidRPr="00763E5E">
              <w:rPr>
                <w:sz w:val="22"/>
                <w:szCs w:val="22"/>
                <w:lang w:val="ru-RU"/>
              </w:rPr>
              <w:t>В объём работ входит доставка материалов и оборудования (включая погрузочно-разгрузочные работы) с площадки временного складирования МТР Заказчика, входящих в объем поставки Подрядчика на площадку объекта.</w:t>
            </w:r>
          </w:p>
          <w:p w:rsidR="00251181" w:rsidRPr="00763E5E" w:rsidRDefault="00251181" w:rsidP="00251181">
            <w:pPr>
              <w:pStyle w:val="a5"/>
              <w:jc w:val="both"/>
              <w:rPr>
                <w:rFonts w:ascii="Times New Roman" w:hAnsi="Times New Roman"/>
                <w:highlight w:val="yellow"/>
              </w:rPr>
            </w:pPr>
            <w:r w:rsidRPr="00763E5E">
              <w:rPr>
                <w:rFonts w:ascii="Times New Roman" w:hAnsi="Times New Roman"/>
              </w:rPr>
              <w:lastRenderedPageBreak/>
              <w:t xml:space="preserve">Адрес склада Заказчика: DDP ООО "ЕТУ", РФ, Ленинградская область, р-н </w:t>
            </w:r>
            <w:proofErr w:type="spellStart"/>
            <w:r w:rsidRPr="00763E5E">
              <w:rPr>
                <w:rFonts w:ascii="Times New Roman" w:hAnsi="Times New Roman"/>
              </w:rPr>
              <w:t>Кингисеппский</w:t>
            </w:r>
            <w:proofErr w:type="spellEnd"/>
            <w:r w:rsidRPr="00763E5E">
              <w:rPr>
                <w:rFonts w:ascii="Times New Roman" w:hAnsi="Times New Roman"/>
              </w:rPr>
              <w:t xml:space="preserve">, с/п </w:t>
            </w:r>
            <w:proofErr w:type="spellStart"/>
            <w:r w:rsidRPr="00763E5E">
              <w:rPr>
                <w:rFonts w:ascii="Times New Roman" w:hAnsi="Times New Roman"/>
              </w:rPr>
              <w:t>Вистинское</w:t>
            </w:r>
            <w:proofErr w:type="spellEnd"/>
            <w:r w:rsidRPr="00763E5E">
              <w:rPr>
                <w:rFonts w:ascii="Times New Roman" w:hAnsi="Times New Roman"/>
              </w:rPr>
              <w:t>, Морской торговый порт Усть-Луга, Комплексы генеральных грузов, 3 очередь, участок 1 с КН 47:30:0101001:201. ИНКОТЕРМС 2010.</w:t>
            </w:r>
          </w:p>
        </w:tc>
      </w:tr>
      <w:tr w:rsidR="0085712B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85712B" w:rsidRPr="00DD0D4C" w:rsidRDefault="0085712B" w:rsidP="0085712B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85712B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 xml:space="preserve">До начала производства работ, но не позже одного месяца с момента заключения договора, Подрядчик разрабатывает и согласовывает с Заказчиком ППР, график поставки материалов, календарно-сетевой график производства электромонтажных работ, график мобилизации персонала и техники на площадку, журналы учета работ. 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По требованию Заказчика, но не реже одного раза в неделю, предоставлять актуализированные редакции отчетной документации и графиков, содержащих: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посуточную разбивку операций по объекту в соответствии с РД;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показатель выполнения в натуральных единицах от общих объёмов (шт., метры, тонны и т.д.);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ключевые вехи проекта;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освоение финансовых средств с помесячной разбивкой;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сроки поставки материалов/оборудования в зоне своей ответственности;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потребность и фактическое присутствие на площадке спецтехники и персонала;</w:t>
            </w:r>
          </w:p>
          <w:p w:rsidR="0085712B" w:rsidRPr="00DD0D4C" w:rsidRDefault="0085712B" w:rsidP="0085712B">
            <w:pPr>
              <w:jc w:val="both"/>
              <w:rPr>
                <w:sz w:val="22"/>
                <w:szCs w:val="22"/>
              </w:rPr>
            </w:pPr>
            <w:r w:rsidRPr="00DD0D4C">
              <w:t>Работы по монтажу производятся в один этап в соответствии с планом-графиком проведения работ.</w:t>
            </w:r>
          </w:p>
          <w:p w:rsidR="0085712B" w:rsidRPr="00763E5E" w:rsidRDefault="0085712B" w:rsidP="0085712B">
            <w:pPr>
              <w:pStyle w:val="a7"/>
              <w:spacing w:after="0"/>
              <w:rPr>
                <w:sz w:val="22"/>
                <w:szCs w:val="22"/>
                <w:lang w:val="ru-RU"/>
              </w:rPr>
            </w:pPr>
            <w:r w:rsidRPr="00763E5E">
              <w:rPr>
                <w:sz w:val="22"/>
                <w:szCs w:val="22"/>
                <w:lang w:val="ru-RU"/>
              </w:rPr>
              <w:t>До начала работ предоставить приказ о назначении ответственных лиц за выполнение СМР,  ОТ и ПБ, экологическую безопасность, за работы повышенной опасности.</w:t>
            </w:r>
          </w:p>
        </w:tc>
      </w:tr>
      <w:tr w:rsidR="0025118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51181" w:rsidRPr="00DD0D4C" w:rsidRDefault="00D42E71" w:rsidP="0025118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37343" w:rsidRPr="00DD0D4C" w:rsidRDefault="00937343" w:rsidP="00937343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Все работы по монтажу и испытаниям смонтированного оборудования должны выполняться в соответствии с утвержденным Проектом производства работ (ППР), рабочей документацией проектной организации,</w:t>
            </w:r>
            <w:r>
              <w:rPr>
                <w:sz w:val="22"/>
                <w:szCs w:val="22"/>
              </w:rPr>
              <w:t xml:space="preserve"> </w:t>
            </w:r>
            <w:r w:rsidRPr="00937343">
              <w:rPr>
                <w:sz w:val="22"/>
                <w:szCs w:val="22"/>
              </w:rPr>
              <w:t>СП 10.13130.2020</w:t>
            </w:r>
            <w:r>
              <w:rPr>
                <w:sz w:val="22"/>
                <w:szCs w:val="22"/>
              </w:rPr>
              <w:t xml:space="preserve">, </w:t>
            </w:r>
            <w:r w:rsidRPr="00DD0D4C">
              <w:rPr>
                <w:sz w:val="22"/>
                <w:szCs w:val="22"/>
              </w:rPr>
              <w:t xml:space="preserve">СП 30.13330.2020, СП 48.13330.2019, СП 70.13330.2012, СП 72.13330.2016, СНиП 12-03-2001, СП 40-102-2000, 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СП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73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13330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2016, </w:t>
            </w:r>
            <w:r w:rsidRPr="00DD0D4C">
              <w:rPr>
                <w:sz w:val="22"/>
                <w:szCs w:val="22"/>
              </w:rPr>
              <w:t xml:space="preserve">СП 75.13330.2011, СП 76.13330-2016, 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СП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129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13330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2019, РД 34.45-51.300-97, СНиП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05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05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84, </w:t>
            </w:r>
            <w:r w:rsidRPr="00DD0D4C">
              <w:rPr>
                <w:rStyle w:val="ad"/>
                <w:color w:val="000000" w:themeColor="text1"/>
                <w:sz w:val="22"/>
                <w:szCs w:val="22"/>
                <w:u w:val="none"/>
              </w:rPr>
              <w:t>ПУЭ.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До начала выполнения работ Подрядчик должен разработать и согласовать с Заказчиком проект производства работ (ППР) для выполнения строительно-монтажных (СМР). Все работы должны выполняться в соответствии с утвержденным Проектом производства работ (ППР) и рабочей документацией проектной организации. 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 ППР, кроме технологии производства монтажных работ, обязательно должны быть указаны способы транспортировки и размещения монтируемых частей.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При производстве работ с помощью подъемных сооружений иметь аттестованных в соответствии с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работников – специалист, ответственный за безопасное производство работ с применением подъемных сооружений, машинисты крана, стропальщики. Обеспечить присутствие данных специалистов на площадке на весь период производства работ с применением подъемных сооружений.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Специалисты, принимающие участие в выполнении работ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Для допуска к работам весь персонал должен иметь: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- квалификационные удостоверения (для работников рабочих профессий); 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охране труда;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оказанию первой помощи пострадавшему;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удостоверение по обучению по высоте (при выполнении работ на высоте).</w:t>
            </w:r>
          </w:p>
          <w:p w:rsidR="00251181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Ответственные за безопасное  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  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 (утв. Постановлением Правительства РФ № 1365 от 25.10.2019) 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763E5E">
              <w:rPr>
                <w:sz w:val="22"/>
                <w:szCs w:val="22"/>
              </w:rPr>
              <w:t>Ростехнадзора</w:t>
            </w:r>
            <w:proofErr w:type="spellEnd"/>
            <w:r w:rsidRPr="00763E5E">
              <w:rPr>
                <w:sz w:val="22"/>
                <w:szCs w:val="22"/>
              </w:rPr>
              <w:t xml:space="preserve"> № 334 от 04.09.2020). Области аттестации: А1; Б.1.17 (ремонтные, огневые и </w:t>
            </w:r>
            <w:r w:rsidRPr="00763E5E">
              <w:rPr>
                <w:sz w:val="22"/>
                <w:szCs w:val="22"/>
              </w:rPr>
              <w:lastRenderedPageBreak/>
              <w:t xml:space="preserve">газоопасные работы); Б.9.31 (при выполнении работ с применением подъемных сооружений, предназначенные для подъема и перемещения грузов). </w:t>
            </w:r>
          </w:p>
          <w:p w:rsidR="00937343" w:rsidRPr="00DD0D4C" w:rsidRDefault="00937343" w:rsidP="00937343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Персонал монтажной организации, принимающий участие в СМР, ПНР, приемо-сдаточных испытаниях должен иметь соответствующие группы допуска по электробезопасности, удостоверения о допуске к работам на высоте, быть (при необходимости) аттестованным на право выполнения огневых/газоопасных работ.</w:t>
            </w:r>
          </w:p>
          <w:p w:rsidR="00937343" w:rsidRPr="00DD0D4C" w:rsidRDefault="00937343" w:rsidP="00937343">
            <w:pPr>
              <w:pStyle w:val="a3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D0D4C">
              <w:rPr>
                <w:rFonts w:ascii="Times New Roman" w:hAnsi="Times New Roman" w:cs="Times New Roman"/>
              </w:rPr>
              <w:t xml:space="preserve">Электромонтажные работы должны выполняться квалифицированным персоналом, соблюдая требования действующих норм и правил ПУЭ, СНиП, «Правил технической эксплуатации электроустановок потребителей», «Правил по охране труда при эксплуатации электроустановок» и </w:t>
            </w:r>
            <w:r w:rsidRPr="00DD0D4C">
              <w:rPr>
                <w:rFonts w:ascii="Times New Roman" w:hAnsi="Times New Roman" w:cs="Times New Roman"/>
                <w:u w:val="single"/>
              </w:rPr>
              <w:t>рекомендаций заводов изготовителей оборудования и комплектующих</w:t>
            </w:r>
            <w:r w:rsidRPr="00DD0D4C">
              <w:rPr>
                <w:rFonts w:ascii="Times New Roman" w:hAnsi="Times New Roman" w:cs="Times New Roman"/>
              </w:rPr>
              <w:t xml:space="preserve">. Площадки для установки подъемных сооружений для монтажа 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 </w:t>
            </w:r>
          </w:p>
          <w:p w:rsidR="00937343" w:rsidRPr="00DD0D4C" w:rsidRDefault="00937343" w:rsidP="00937343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Все выполненные монтажные работы фиксировать в журнале производства работ. При проведении сварочных работ – в журнале сварочных работ.</w:t>
            </w:r>
          </w:p>
          <w:p w:rsidR="00251181" w:rsidRPr="00763E5E" w:rsidRDefault="00251181" w:rsidP="00D82A6F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Площадки для установки подъемных сооружений для монтажа 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 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Все выполненные монтажные работы фиксировать в журнале производства работ. При проведении сварочных работ – в журнале сварочных работ.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 своими силами и средствами возводит все необходимые временные сооружения и коммуникации, необходимые для выполнения работ и до сдачи работ самостоятельно осуществляет их демонтаж и вывоз с территории объекта. 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самостоятельно предусматривает и обеспечивает снабжение работ энергоресурсами на основе нормативных расходов. При наличии технической возможности Заказчик указывает подрядчику точки подключения к инженерным сетям. Точки подключения предоставляются по письменному запросу Подрядчика с указанием требуемых нагрузок, объемов потребления и ответственного со стороны Подрядчика.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Перед началом работ Подрядчик, согласовывает с Заказчиком: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места складирования материалов для монтажа;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последовательность выполнения работ (порядок выделения зон);</w:t>
            </w:r>
          </w:p>
          <w:p w:rsidR="00251181" w:rsidRPr="00763E5E" w:rsidRDefault="00251181" w:rsidP="0025118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- места складирования и сроки вывоза демонтируемых материалов. При этом кабельная продукция должна отсортировываться от металлолома и остального мусора; </w:t>
            </w:r>
          </w:p>
          <w:p w:rsidR="00251181" w:rsidRPr="00763E5E" w:rsidRDefault="00251181" w:rsidP="00251181">
            <w:pPr>
              <w:pStyle w:val="a7"/>
              <w:spacing w:after="0"/>
              <w:rPr>
                <w:sz w:val="22"/>
                <w:szCs w:val="22"/>
                <w:lang w:val="ru-RU"/>
              </w:rPr>
            </w:pPr>
            <w:r w:rsidRPr="00763E5E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val="ru-RU" w:eastAsia="ru-RU"/>
              </w:rPr>
              <w:t>- сроки периодической уборки от мусора, выделенных под монтаж зон.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42E71" w:rsidRDefault="00D42E71" w:rsidP="00D42E71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8.4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pStyle w:val="a3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 должен обеспечить: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921211" w:rsidRPr="00DD0D4C">
              <w:rPr>
                <w:rFonts w:ascii="Times New Roman" w:eastAsia="Times New Roman" w:hAnsi="Times New Roman" w:cs="Times New Roman"/>
                <w:color w:val="000000"/>
              </w:rPr>
              <w:t>контроль хода выполнения работ и составление соответствующей отчетности (еженедельное заполнение журналов/экранов смонтированного оборудования);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руководство, координацию и согласование деятельности сторонних организаций, привлекаемых на субподряд, включая получение разрешений, согласований и т.п.;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оказание всех работ,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 в указанный срок;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выполнение погрузочно-разгрузочных и такелажных работ и наличие на период разгрузки, перемещения и монтажа грузоподъемного оборудования, оснастки и специальных монтажных приспособлений;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требованию Заказчика организовать производство работ по данному техническому заданию в ночную смену, выходные и праздничные дни;</w:t>
            </w:r>
          </w:p>
          <w:p w:rsidR="00D42E71" w:rsidRPr="00763E5E" w:rsidRDefault="00D42E71" w:rsidP="00D42E71">
            <w:pPr>
              <w:pStyle w:val="a3"/>
              <w:numPr>
                <w:ilvl w:val="0"/>
                <w:numId w:val="7"/>
              </w:numPr>
              <w:tabs>
                <w:tab w:val="left" w:pos="31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безопасные условия труда, выполнение мероприятий, предотвращающих вред окружающей среде.</w:t>
            </w:r>
          </w:p>
          <w:p w:rsidR="00D42E71" w:rsidRDefault="00D42E71" w:rsidP="00D42E71">
            <w:pPr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При необходимости применения строительных лесов для выполнения работ</w:t>
            </w:r>
            <w:r w:rsidRPr="00763E5E" w:rsidDel="00CC5F90">
              <w:rPr>
                <w:color w:val="000000"/>
                <w:sz w:val="22"/>
                <w:szCs w:val="22"/>
              </w:rPr>
              <w:t xml:space="preserve"> </w:t>
            </w:r>
            <w:r w:rsidRPr="00763E5E">
              <w:rPr>
                <w:color w:val="000000"/>
                <w:sz w:val="22"/>
                <w:szCs w:val="22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</w:p>
          <w:p w:rsidR="00921211" w:rsidRPr="00763E5E" w:rsidRDefault="00921211" w:rsidP="00D42E71">
            <w:pPr>
              <w:jc w:val="both"/>
              <w:rPr>
                <w:color w:val="000000"/>
                <w:sz w:val="22"/>
                <w:szCs w:val="22"/>
              </w:rPr>
            </w:pPr>
            <w:r w:rsidRPr="00921211">
              <w:rPr>
                <w:color w:val="000000"/>
                <w:sz w:val="22"/>
                <w:szCs w:val="22"/>
              </w:rPr>
              <w:lastRenderedPageBreak/>
              <w:t>Перед началом работ, Исполнитель, направляет Заказчику Письмо о командированном персонале, с указанием лиц ответственных за безопасное проведение работ (ответственный руководитель работ, производитель работ, члены бригады).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8.5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85712B" w:rsidRDefault="00D42E71" w:rsidP="0085712B">
            <w:pPr>
              <w:tabs>
                <w:tab w:val="left" w:pos="205"/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При организации, производстве, контроле качества и приемке выполненных монтажных работ Подрядчик должен руководствоваться:</w:t>
            </w:r>
          </w:p>
          <w:p w:rsidR="0085712B" w:rsidRDefault="00D42E71" w:rsidP="0085712B">
            <w:pPr>
              <w:tabs>
                <w:tab w:val="left" w:pos="205"/>
                <w:tab w:val="left" w:pos="346"/>
              </w:tabs>
              <w:jc w:val="both"/>
              <w:rPr>
                <w:color w:val="000000"/>
                <w:sz w:val="22"/>
                <w:szCs w:val="22"/>
                <w:u w:color="000000"/>
              </w:rPr>
            </w:pP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Федеральным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законом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от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22.07.2008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№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123-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ФЗ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«Технический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регламент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о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требованиях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пожарной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безопасности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>»;</w:t>
            </w:r>
          </w:p>
          <w:p w:rsidR="0085712B" w:rsidRPr="0085712B" w:rsidRDefault="00D42E71" w:rsidP="0085712B">
            <w:pPr>
              <w:pStyle w:val="a3"/>
              <w:numPr>
                <w:ilvl w:val="0"/>
                <w:numId w:val="15"/>
              </w:numPr>
              <w:tabs>
                <w:tab w:val="left" w:pos="205"/>
                <w:tab w:val="left" w:pos="346"/>
              </w:tabs>
              <w:ind w:left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Федеральным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законом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от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30.12.2009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№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384-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ФЗ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«Технический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регламент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="0085712B"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безопасности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зданий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712B">
              <w:rPr>
                <w:rFonts w:ascii="Times New Roman" w:eastAsia="Times New Roman" w:hAnsi="Times New Roman" w:cs="Times New Roman" w:hint="eastAsia"/>
                <w:lang w:eastAsia="ru-RU"/>
              </w:rPr>
              <w:t>сооружений</w:t>
            </w: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D42E71" w:rsidRPr="0085712B" w:rsidRDefault="0085712B" w:rsidP="0085712B">
            <w:pPr>
              <w:pStyle w:val="a3"/>
              <w:numPr>
                <w:ilvl w:val="0"/>
                <w:numId w:val="15"/>
              </w:numPr>
              <w:tabs>
                <w:tab w:val="left" w:pos="205"/>
                <w:tab w:val="left" w:pos="346"/>
              </w:tabs>
              <w:ind w:left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D42E71" w:rsidRPr="0085712B">
              <w:rPr>
                <w:rFonts w:ascii="Times New Roman" w:eastAsia="Times New Roman" w:hAnsi="Times New Roman" w:cs="Times New Roman"/>
                <w:lang w:eastAsia="ru-RU"/>
              </w:rPr>
              <w:t>едерального закона от 21.07.1997 № 116-ФЗ «О промышленной безопасности опасных производственных объектов»;</w:t>
            </w:r>
          </w:p>
          <w:p w:rsidR="00D42E71" w:rsidRPr="00763E5E" w:rsidRDefault="00D42E71" w:rsidP="00D42E71">
            <w:pPr>
              <w:numPr>
                <w:ilvl w:val="0"/>
                <w:numId w:val="14"/>
              </w:numPr>
              <w:autoSpaceDE w:val="0"/>
              <w:autoSpaceDN w:val="0"/>
              <w:ind w:left="430" w:hanging="284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Строительными нормами и правилами (Актуализированными редакциями): СП 48.13330.2019 «Организация строительства»;</w:t>
            </w:r>
          </w:p>
          <w:p w:rsidR="00DB4D92" w:rsidRDefault="00DB4D92" w:rsidP="00DB4D92">
            <w:pPr>
              <w:numPr>
                <w:ilvl w:val="0"/>
                <w:numId w:val="14"/>
              </w:numPr>
              <w:autoSpaceDE w:val="0"/>
              <w:autoSpaceDN w:val="0"/>
              <w:ind w:left="433" w:hanging="284"/>
              <w:rPr>
                <w:sz w:val="22"/>
                <w:szCs w:val="22"/>
              </w:rPr>
            </w:pPr>
            <w:r w:rsidRPr="00DB4D92">
              <w:rPr>
                <w:sz w:val="22"/>
                <w:szCs w:val="22"/>
              </w:rPr>
              <w:t xml:space="preserve">СП 30.13330.2020 «СНиП 2.04.01-85* Внутренний водопровод и канализация зданий» </w:t>
            </w:r>
          </w:p>
          <w:p w:rsidR="00D42E71" w:rsidRDefault="00D42E71" w:rsidP="00DB4D92">
            <w:pPr>
              <w:numPr>
                <w:ilvl w:val="0"/>
                <w:numId w:val="14"/>
              </w:numPr>
              <w:autoSpaceDE w:val="0"/>
              <w:autoSpaceDN w:val="0"/>
              <w:ind w:left="503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СП 45.13330.2012 «Земляные сооружения, основания и фундаменты»; требованиями рабочей и проектной документации, 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  <w:p w:rsidR="00DB4D92" w:rsidRPr="00DB4D92" w:rsidRDefault="00DB4D92" w:rsidP="00700B4C">
            <w:pPr>
              <w:numPr>
                <w:ilvl w:val="0"/>
                <w:numId w:val="14"/>
              </w:numPr>
              <w:autoSpaceDE w:val="0"/>
              <w:autoSpaceDN w:val="0"/>
              <w:ind w:left="453" w:hanging="284"/>
              <w:rPr>
                <w:sz w:val="22"/>
                <w:szCs w:val="22"/>
              </w:rPr>
            </w:pPr>
            <w:r w:rsidRPr="00DB4D92">
              <w:rPr>
                <w:sz w:val="22"/>
                <w:szCs w:val="22"/>
              </w:rPr>
              <w:t>СП 10.13130.2020 «Системы противопожарной защиты. Внутренний противопожарный водопровод. Нормы и правила проектирования»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Подрядчику необходимо подготовить перечень исполнительной документации в соответствии с требованиями НТД РФ и утвердить его у Заказчика в течении 5 рабочих дней с даты заключения договора. Указанный перечень должен учитывать требования Федеральных норм и правил. </w:t>
            </w:r>
          </w:p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 процессе выполнения работ, для подписания актов</w:t>
            </w:r>
            <w:r w:rsidR="001B2F54">
              <w:rPr>
                <w:sz w:val="22"/>
                <w:szCs w:val="22"/>
              </w:rPr>
              <w:t xml:space="preserve"> результатов</w:t>
            </w:r>
            <w:r w:rsidRPr="00763E5E">
              <w:rPr>
                <w:sz w:val="22"/>
                <w:szCs w:val="22"/>
              </w:rPr>
              <w:t xml:space="preserve"> выполненных работ, предоставлять Заказчику текущую приемо-сдаточную и исполнительную документацию (включая исполнительные схемы и протоколы испытаний), в соответствии с этапами СМР и требованиями действующих нормативов. </w:t>
            </w:r>
          </w:p>
          <w:p w:rsidR="00D42E71" w:rsidRPr="00763E5E" w:rsidRDefault="00D42E71" w:rsidP="00D42E71">
            <w:pPr>
              <w:pStyle w:val="a7"/>
              <w:spacing w:after="0"/>
              <w:rPr>
                <w:sz w:val="22"/>
                <w:szCs w:val="22"/>
                <w:lang w:val="ru-RU"/>
              </w:rPr>
            </w:pPr>
            <w:r w:rsidRPr="00763E5E">
              <w:rPr>
                <w:sz w:val="22"/>
                <w:szCs w:val="22"/>
                <w:lang w:val="ru-RU"/>
              </w:rPr>
              <w:t xml:space="preserve">По завершении работ подготовить и сдать Подрядчику полный комплект исполнительной документации согласно утвержденному и согласованному с Заказчиком перечню. </w:t>
            </w:r>
          </w:p>
          <w:p w:rsidR="00D42E71" w:rsidRPr="00763E5E" w:rsidRDefault="00D42E71" w:rsidP="00D42E71">
            <w:pPr>
              <w:pStyle w:val="a7"/>
              <w:spacing w:after="0"/>
              <w:rPr>
                <w:sz w:val="22"/>
                <w:szCs w:val="22"/>
                <w:lang w:val="ru-RU"/>
              </w:rPr>
            </w:pPr>
            <w:r w:rsidRPr="00763E5E">
              <w:rPr>
                <w:sz w:val="22"/>
                <w:szCs w:val="22"/>
                <w:lang w:val="ru-RU"/>
              </w:rPr>
              <w:t>Исполнительная документация, предоставляемая Заказчику, должна соответствовать требованиям Приказа</w:t>
            </w:r>
            <w:r w:rsidRPr="00763E5E">
              <w:rPr>
                <w:sz w:val="22"/>
                <w:szCs w:val="22"/>
              </w:rPr>
              <w:t> </w:t>
            </w:r>
            <w:r w:rsidRPr="00763E5E">
              <w:rPr>
                <w:sz w:val="22"/>
                <w:szCs w:val="22"/>
                <w:lang w:val="ru-RU"/>
              </w:rPr>
              <w:t xml:space="preserve"> Минстроя РФ от 16.05.2023 № 344/ПР, Приказа Минстроя РФ от 02.12.2022 </w:t>
            </w:r>
            <w:r w:rsidRPr="00763E5E">
              <w:rPr>
                <w:sz w:val="22"/>
                <w:szCs w:val="22"/>
              </w:rPr>
              <w:t>N</w:t>
            </w:r>
            <w:r w:rsidRPr="00763E5E">
              <w:rPr>
                <w:sz w:val="22"/>
                <w:szCs w:val="22"/>
                <w:lang w:val="ru-RU"/>
              </w:rPr>
              <w:t xml:space="preserve"> 1026/ПР, Приказа Минстроя РФ от 02.11.2022 № 929/ПР.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выполнение монтажных работ в соответствии с проектом и в установленные сроки, за надлежащее качество этих работ. </w:t>
            </w:r>
          </w:p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63E5E">
              <w:rPr>
                <w:sz w:val="22"/>
                <w:szCs w:val="22"/>
              </w:rPr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Персонал Подрядчика при нахождении на строительной площадке и/или при производстве работ должен быть обеспечен соответствующей спецодеждой и необходимыми средствами индивидуальной защиты.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D42E71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2E71" w:rsidRPr="00DD0D4C" w:rsidRDefault="00D42E71" w:rsidP="00D42E71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D42E71" w:rsidRPr="00763E5E" w:rsidRDefault="00D42E71" w:rsidP="00D42E71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территории Заказчика </w:t>
            </w:r>
            <w:r w:rsidRPr="00763E5E">
              <w:rPr>
                <w:sz w:val="22"/>
                <w:szCs w:val="22"/>
              </w:rPr>
              <w:lastRenderedPageBreak/>
              <w:t>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937343" w:rsidRPr="00DD0D4C" w:rsidTr="00763E5E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937343" w:rsidRDefault="00937343" w:rsidP="00937343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8.13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37343" w:rsidRPr="00DD0D4C" w:rsidRDefault="00937343" w:rsidP="00700B4C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 xml:space="preserve">По окончании монтажа оборудования и </w:t>
            </w:r>
            <w:r w:rsidR="00700B4C">
              <w:rPr>
                <w:sz w:val="22"/>
                <w:szCs w:val="22"/>
              </w:rPr>
              <w:t>начала</w:t>
            </w:r>
            <w:r w:rsidRPr="00DD0D4C">
              <w:rPr>
                <w:sz w:val="22"/>
                <w:szCs w:val="22"/>
              </w:rPr>
              <w:t xml:space="preserve"> пуско-наладк</w:t>
            </w:r>
            <w:r w:rsidR="00700B4C">
              <w:rPr>
                <w:sz w:val="22"/>
                <w:szCs w:val="22"/>
              </w:rPr>
              <w:t>и</w:t>
            </w:r>
            <w:r w:rsidRPr="00DD0D4C">
              <w:rPr>
                <w:sz w:val="22"/>
                <w:szCs w:val="22"/>
              </w:rPr>
              <w:t xml:space="preserve">, Подрядчик обязан своими силами и за свой счет устранить все монтажные дефекты, отклонения от проекта в части монтажа.  </w:t>
            </w:r>
          </w:p>
        </w:tc>
      </w:tr>
      <w:tr w:rsidR="00937343" w:rsidRPr="00DD0D4C" w:rsidTr="00B40A66">
        <w:trPr>
          <w:trHeight w:val="4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937343" w:rsidRPr="00DD0D4C" w:rsidRDefault="00937343" w:rsidP="00937343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DD0D4C">
              <w:rPr>
                <w:b/>
                <w:bCs/>
                <w:color w:val="000000"/>
                <w:sz w:val="22"/>
                <w:szCs w:val="22"/>
              </w:rPr>
              <w:t>. СРОКИ ВЫПОЛНЕНИЯ РАБОТ</w:t>
            </w:r>
          </w:p>
        </w:tc>
      </w:tr>
      <w:tr w:rsidR="00937343" w:rsidRPr="00DD0D4C" w:rsidTr="00763E5E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37343" w:rsidRPr="00DD0D4C" w:rsidRDefault="00937343" w:rsidP="009373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DD0D4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37343" w:rsidRPr="00763E5E" w:rsidRDefault="00937343" w:rsidP="00937343">
            <w:pPr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Начало выполнения работ – с даты подписания договора. </w:t>
            </w:r>
          </w:p>
          <w:p w:rsidR="00937343" w:rsidRPr="00763E5E" w:rsidRDefault="00937343" w:rsidP="00937343">
            <w:pPr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Завершение работ:</w:t>
            </w:r>
          </w:p>
          <w:p w:rsidR="00937343" w:rsidRPr="00763E5E" w:rsidRDefault="00273A29" w:rsidP="009373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937343" w:rsidRPr="00763E5E">
              <w:rPr>
                <w:color w:val="000000"/>
                <w:sz w:val="22"/>
                <w:szCs w:val="22"/>
              </w:rPr>
              <w:t>Завершение работ - до 30.06.25 г. Шифры РД: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Крытый слад №1 (</w:t>
            </w:r>
            <w:r w:rsidRPr="00763E5E">
              <w:rPr>
                <w:color w:val="000000" w:themeColor="text1"/>
                <w:sz w:val="22"/>
                <w:szCs w:val="22"/>
              </w:rPr>
              <w:t>1632-2021-3.1-ВК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Конвейерная галерея №1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1632-2021-2.1.1-ВК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Конвейерная галерея №11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1632-2021-2.1.11-ВК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Конвейерная галерея №12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1632-2021-2.1.12-ВК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Пересыпная станция №2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1632-2021-2.2.2-ВК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Пересыпная станция №3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1632-2021-2.2.3-ВК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Пересыпная станция №6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1632-2021-2.2.6-ВК</w:t>
            </w:r>
            <w:r w:rsidRPr="00763E5E">
              <w:rPr>
                <w:color w:val="000000"/>
                <w:sz w:val="22"/>
                <w:szCs w:val="22"/>
              </w:rPr>
              <w:t>).</w:t>
            </w:r>
          </w:p>
          <w:p w:rsidR="00937343" w:rsidRPr="00763E5E" w:rsidRDefault="00273A29" w:rsidP="009373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937343" w:rsidRPr="00763E5E">
              <w:rPr>
                <w:color w:val="000000"/>
                <w:sz w:val="22"/>
                <w:szCs w:val="22"/>
              </w:rPr>
              <w:t>Завершение работ - до 15.08.25 г. Шифры РД: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Крытый слад №2 (</w:t>
            </w:r>
            <w:r w:rsidRPr="00763E5E">
              <w:rPr>
                <w:color w:val="000000" w:themeColor="text1"/>
                <w:sz w:val="22"/>
                <w:szCs w:val="22"/>
              </w:rPr>
              <w:t>1632-2021-3.2-ВК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Конвейерная галерея №5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1632-2021-2.1.5-ВК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Пересыпная станция №1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1632-2021-2.1.0, 2.2.1-ВК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Приводная станция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1632-2021-2.2.7-ВК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>- Пересыпная станция №5 и конвейерная галерея №13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1632-2021-2.2.5, 2.1.13-ВК</w:t>
            </w:r>
            <w:r w:rsidRPr="00763E5E">
              <w:rPr>
                <w:color w:val="000000"/>
                <w:sz w:val="22"/>
                <w:szCs w:val="22"/>
              </w:rPr>
              <w:t>).</w:t>
            </w:r>
          </w:p>
          <w:p w:rsidR="00937343" w:rsidRPr="00763E5E" w:rsidRDefault="00273A29" w:rsidP="009373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="00937343" w:rsidRPr="00763E5E">
              <w:rPr>
                <w:color w:val="000000"/>
                <w:sz w:val="22"/>
                <w:szCs w:val="22"/>
              </w:rPr>
              <w:t>Завершение работ - до 15.08.25 г. Шифры РД: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Конвейерные галереи №2 и №7 в осях 8-14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1632-2021-2.1.2, 2.1.7-ВК2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Конвейерные галереи №2 и №7 в осях 15-23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1632-2021-2.1.2, 2.1.7-ВК3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Конвейерная галерея №3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1632-2021-2.1.3-ВК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Конвейерная галерея №4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1632-2021-2.1.4-ВК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Пересыпная станция №4, Конвейерная галерея №6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1632-2021-2.2.4, 2.1.6-ВК</w:t>
            </w:r>
            <w:r w:rsidRPr="00763E5E">
              <w:rPr>
                <w:color w:val="000000"/>
                <w:sz w:val="22"/>
                <w:szCs w:val="22"/>
              </w:rPr>
              <w:t>);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Конвейерные галереи №2 и №7 в осях 1-7 (</w:t>
            </w:r>
            <w:r w:rsidRPr="00763E5E">
              <w:rPr>
                <w:color w:val="000000" w:themeColor="text1"/>
                <w:sz w:val="22"/>
                <w:szCs w:val="22"/>
              </w:rPr>
              <w:t>1632-2021-2.1.2, 2.1.7-ВК1</w:t>
            </w:r>
            <w:r w:rsidRPr="00763E5E">
              <w:rPr>
                <w:sz w:val="22"/>
                <w:szCs w:val="22"/>
              </w:rPr>
              <w:t>);</w:t>
            </w:r>
          </w:p>
          <w:p w:rsidR="00937343" w:rsidRPr="00763E5E" w:rsidRDefault="00273A29" w:rsidP="009373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="00937343" w:rsidRPr="00763E5E">
              <w:rPr>
                <w:color w:val="000000"/>
                <w:sz w:val="22"/>
                <w:szCs w:val="22"/>
              </w:rPr>
              <w:t>Завершение работ - до 15.08.25 г. Шифры РД:</w:t>
            </w:r>
          </w:p>
          <w:p w:rsidR="00937343" w:rsidRPr="00763E5E" w:rsidRDefault="00937343" w:rsidP="00937343">
            <w:pPr>
              <w:ind w:left="740"/>
              <w:jc w:val="both"/>
              <w:rPr>
                <w:color w:val="000000"/>
                <w:sz w:val="22"/>
                <w:szCs w:val="22"/>
              </w:rPr>
            </w:pPr>
            <w:r w:rsidRPr="00763E5E">
              <w:rPr>
                <w:color w:val="000000"/>
                <w:sz w:val="22"/>
                <w:szCs w:val="22"/>
              </w:rPr>
              <w:t xml:space="preserve">- </w:t>
            </w:r>
            <w:r w:rsidRPr="00763E5E">
              <w:rPr>
                <w:sz w:val="22"/>
                <w:szCs w:val="22"/>
              </w:rPr>
              <w:t>Станция разгрузки вагонов. Трансбордер</w:t>
            </w:r>
            <w:r w:rsidRPr="00763E5E">
              <w:rPr>
                <w:color w:val="000000"/>
                <w:sz w:val="22"/>
                <w:szCs w:val="22"/>
              </w:rPr>
              <w:t xml:space="preserve"> (</w:t>
            </w:r>
            <w:r w:rsidRPr="00763E5E">
              <w:rPr>
                <w:color w:val="000000" w:themeColor="text1"/>
                <w:sz w:val="22"/>
                <w:szCs w:val="22"/>
              </w:rPr>
              <w:t>1632-2021-1.1, 1.2-ВК</w:t>
            </w:r>
            <w:r w:rsidRPr="00763E5E">
              <w:rPr>
                <w:color w:val="000000"/>
                <w:sz w:val="22"/>
                <w:szCs w:val="22"/>
              </w:rPr>
              <w:t>).</w:t>
            </w:r>
          </w:p>
        </w:tc>
      </w:tr>
      <w:tr w:rsidR="00937343" w:rsidRPr="00DD0D4C" w:rsidTr="00E86293">
        <w:trPr>
          <w:trHeight w:val="459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37343" w:rsidRPr="00DD0D4C" w:rsidRDefault="00937343" w:rsidP="00937343">
            <w:pPr>
              <w:ind w:right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10. ТРЕБОВАНИЯ К СРЕДСТВАМ И МАТЕРИАЛАМ ДЛЯ ВЫПОЛНЕНИЯ РАБОТ</w:t>
            </w:r>
          </w:p>
        </w:tc>
      </w:tr>
      <w:tr w:rsidR="00937343" w:rsidRPr="00DD0D4C" w:rsidTr="00763E5E">
        <w:trPr>
          <w:trHeight w:val="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937343" w:rsidRPr="00DD0D4C" w:rsidRDefault="00937343" w:rsidP="00937343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37343" w:rsidRPr="00763E5E" w:rsidRDefault="00937343" w:rsidP="00937343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Все материалы и оборудование, входящие в объем поставки Подрядчика по согласованию с Заказчиком, должны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3A2D04" w:rsidRPr="00DD0D4C" w:rsidTr="00763E5E">
        <w:trPr>
          <w:trHeight w:val="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F57B0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DD0D4C" w:rsidRDefault="003A2D04" w:rsidP="003A2D0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На этапе поступления всех МТЦ должен быть проведен входной контроль с участием профильных специалистов Заказчика, и обязательным оформлением Акта входного контроля, предъявлением сертификата качества на материалы и оборудование. В случае выявления некачественных материалов и оборудования, Подрядчик за свой счет организовывает замену некачественных материалов и оборудования.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DD0D4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При обнаружении несоответствия количества упаковочных мест товаросопроводительной документации, дефекта упаковки, уполномоченный представитель </w:t>
            </w:r>
            <w:r w:rsidRPr="00DD0D4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Заказчика</w:t>
            </w:r>
            <w:r w:rsidRPr="00DD0D4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фиксирует дефект, составляет Рекламационное извещение и передает его вместе с фотографией Подрядчику. После чего Стороны в течение 7 (семи) календарных дней готовят Рекламационный акт по согласованной форме. В этом случае Подрядчик несет ответственность за своевременную допоставку недостающих упаковочных мест по товаросопроводительной документации в согласованные Сторонами сроки.</w:t>
            </w:r>
          </w:p>
        </w:tc>
      </w:tr>
      <w:tr w:rsidR="003A2D04" w:rsidRPr="00DD0D4C" w:rsidTr="005E645C">
        <w:trPr>
          <w:trHeight w:val="1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Материалы и оборудование, входящие в объем поставки Подрядчика, должны быть новыми, изготовленными не ранее 2024 года (которые не были в употреблении, в ремонте, в консервации, в том числе, которые не были восстановлены, у которых не были осуществлены замены составных частей, не были восстановлены потребительские свойства), не являться выставочными образцами, должны быть свободными от прав третьих лиц, в целом готовыми к установке и эксплуатации.</w:t>
            </w:r>
          </w:p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DD0D4C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  <w:t>Поставщик должен быть сертифицирован на соответствие:</w:t>
            </w:r>
          </w:p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DD0D4C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  <w:t>- системе менеджмента качества стандарта ИСО 9001;</w:t>
            </w:r>
          </w:p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DD0D4C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ru-RU" w:eastAsia="ru-RU"/>
              </w:rPr>
              <w:t>- системе менеджмента безопасности труда и охраны здоровья ИСО 45001.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DD0D4C">
              <w:rPr>
                <w:sz w:val="22"/>
                <w:szCs w:val="22"/>
              </w:rPr>
              <w:t>Оборудование должно соответствовать техническим требованиям проектной и рабочей документации</w:t>
            </w:r>
          </w:p>
        </w:tc>
      </w:tr>
      <w:tr w:rsidR="003A2D04" w:rsidRPr="00DD0D4C" w:rsidTr="006A57A1">
        <w:trPr>
          <w:trHeight w:val="1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DD0D4C">
              <w:rPr>
                <w:rFonts w:eastAsia="Calibri" w:cs="Times New Roman"/>
                <w:sz w:val="22"/>
                <w:szCs w:val="22"/>
                <w:lang w:val="ru-RU"/>
              </w:rPr>
              <w:t xml:space="preserve">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      </w:r>
          </w:p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DD0D4C">
              <w:rPr>
                <w:rFonts w:eastAsia="Calibri" w:cs="Times New Roman"/>
                <w:sz w:val="22"/>
                <w:szCs w:val="22"/>
                <w:lang w:val="ru-RU"/>
              </w:rPr>
              <w:t>Все поставляемое оборудование, панели,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  <w:p w:rsidR="003A2D04" w:rsidRPr="00DD0D4C" w:rsidRDefault="003A2D04" w:rsidP="003A2D04">
            <w:pPr>
              <w:jc w:val="both"/>
              <w:rPr>
                <w:color w:val="000000"/>
                <w:sz w:val="22"/>
                <w:szCs w:val="22"/>
              </w:rPr>
            </w:pPr>
            <w:r w:rsidRPr="00DD0D4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Условия транспортировки и хранения устанавливаются эксплуатационной документацией завода изготовителя, в зависимости от их конструктивных особенностей и назначения, при этом допустимый срок хранения в упаковке и консервации предприятия –изготовителя не менее 1 года.</w:t>
            </w:r>
          </w:p>
        </w:tc>
      </w:tr>
      <w:tr w:rsidR="003A2D04" w:rsidRPr="00DD0D4C" w:rsidTr="006A57A1">
        <w:trPr>
          <w:trHeight w:val="1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DD0D4C">
              <w:rPr>
                <w:rFonts w:cs="Times New Roman"/>
                <w:sz w:val="22"/>
                <w:szCs w:val="22"/>
                <w:lang w:val="ru-RU"/>
              </w:rPr>
              <w:t xml:space="preserve">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экстремальных температур, соли, осадков, 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</w:t>
            </w:r>
            <w:r w:rsidRPr="00DD0D4C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 xml:space="preserve">Виды упаковки и способы консервации сборочных единиц должны обеспечить их сохранность в течение 24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:rsidR="003A2D04" w:rsidRPr="00DD0D4C" w:rsidRDefault="003A2D04" w:rsidP="003A2D04">
            <w:pPr>
              <w:pStyle w:val="a7"/>
              <w:spacing w:after="0" w:line="240" w:lineRule="auto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DD0D4C">
              <w:rPr>
                <w:rFonts w:cs="Times New Roman"/>
                <w:sz w:val="22"/>
                <w:szCs w:val="22"/>
                <w:lang w:val="ru-RU"/>
              </w:rPr>
              <w:t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</w:t>
            </w:r>
          </w:p>
        </w:tc>
      </w:tr>
      <w:tr w:rsidR="003A2D04" w:rsidRPr="00DD0D4C" w:rsidTr="00763E5E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 случае замены Подрядчиком проектных материалов, оборудования или его составных частей на аналогичные, данная замена должна быть согласована с Заказчиком.</w:t>
            </w:r>
          </w:p>
        </w:tc>
      </w:tr>
      <w:tr w:rsidR="003A2D04" w:rsidRPr="00DD0D4C" w:rsidTr="00763E5E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Подрядчик несет ответственность за сохранность всех поставленных для реализации монтажных работ материалов и оборудования до сдачи объекта в эксплу</w:t>
            </w:r>
            <w:r>
              <w:rPr>
                <w:sz w:val="22"/>
              </w:rPr>
              <w:t>атацию и подписания Акта приема-передачи результата выполненных</w:t>
            </w:r>
            <w:r w:rsidRPr="00763E5E">
              <w:rPr>
                <w:sz w:val="22"/>
              </w:rPr>
              <w:t xml:space="preserve"> работ.</w:t>
            </w:r>
          </w:p>
        </w:tc>
      </w:tr>
      <w:tr w:rsidR="003A2D04" w:rsidRPr="00DD0D4C" w:rsidTr="00763E5E">
        <w:trPr>
          <w:trHeight w:val="2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 ходе исполнения обязательств по договору Подрядчик самостоятельно осуществляет хранение, приобретение и доставку на объект материалов и оборудования, входящих в объем поставки Подрядчика.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3A2D04" w:rsidRPr="00DD0D4C" w:rsidTr="00E86293">
        <w:trPr>
          <w:trHeight w:val="459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3A2D04" w:rsidRPr="0075476F" w:rsidRDefault="003A2D04" w:rsidP="003A2D04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 xml:space="preserve">11. ТРЕБОВАНИЯ К </w:t>
            </w:r>
            <w:r w:rsidRPr="0075476F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Должен обладать общей и специальной правоспособностью для заключения Договора.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Подрядчика банкротом и об открытии Конкурсного производства; на имущество Подрядчика,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Должен обладать соответствующими материально-техническими ресурсами, машинами, механизмами, необходимыми для полного и своевременного выполнения работ по данному тех. Заданию, а именно:</w:t>
            </w:r>
          </w:p>
          <w:p w:rsidR="003A2D04" w:rsidRPr="00937343" w:rsidRDefault="003A2D04" w:rsidP="003A2D0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Наборы инструментов для сантехнических работ</w:t>
            </w:r>
            <w:r w:rsidRPr="00937343">
              <w:rPr>
                <w:bCs/>
                <w:sz w:val="22"/>
              </w:rPr>
              <w:t>;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lastRenderedPageBreak/>
              <w:t>Сам</w:t>
            </w:r>
            <w:r>
              <w:rPr>
                <w:bCs/>
                <w:sz w:val="22"/>
              </w:rPr>
              <w:t xml:space="preserve">освал г/п 10 т – не менее 1 </w:t>
            </w:r>
            <w:proofErr w:type="spellStart"/>
            <w:r>
              <w:rPr>
                <w:bCs/>
                <w:sz w:val="22"/>
              </w:rPr>
              <w:t>шт</w:t>
            </w:r>
            <w:proofErr w:type="spellEnd"/>
            <w:r>
              <w:rPr>
                <w:bCs/>
                <w:sz w:val="22"/>
              </w:rPr>
              <w:t>;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 xml:space="preserve">Общее количество рабочих занятых на работах не менее </w:t>
            </w:r>
            <w:r w:rsidRPr="00937343">
              <w:rPr>
                <w:bCs/>
                <w:sz w:val="22"/>
              </w:rPr>
              <w:t>20</w:t>
            </w:r>
            <w:r w:rsidRPr="00763E5E">
              <w:rPr>
                <w:bCs/>
                <w:sz w:val="22"/>
              </w:rPr>
              <w:t xml:space="preserve"> человек в смену, в том числе: линейный ИТР не менее 3 человека; специалист по охране труда и промышленной безопасности не менее 1 человека;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 xml:space="preserve">квалифицированные рабочие – не менее </w:t>
            </w:r>
            <w:r w:rsidRPr="00937343">
              <w:rPr>
                <w:bCs/>
                <w:sz w:val="22"/>
              </w:rPr>
              <w:t>16</w:t>
            </w:r>
            <w:r w:rsidRPr="00763E5E">
              <w:rPr>
                <w:bCs/>
                <w:sz w:val="22"/>
              </w:rPr>
              <w:t xml:space="preserve"> человек.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Квалификационные требования к линейным ИТР: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 xml:space="preserve">Ответственные за безопасное 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 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763E5E">
              <w:rPr>
                <w:bCs/>
                <w:sz w:val="22"/>
              </w:rPr>
              <w:t>Ростехнадзора</w:t>
            </w:r>
            <w:proofErr w:type="spellEnd"/>
            <w:r w:rsidRPr="00763E5E">
              <w:rPr>
                <w:bCs/>
                <w:sz w:val="22"/>
              </w:rPr>
              <w:t xml:space="preserve"> № 334 от 04.09.2020). Области аттестации: Б.9.31/Б.9.3 (при выполнении работ с применением подъемных сооружений, предназначенные для подъема и перемещения грузов):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электробезопасности группа допуска не ниже группы, подчиненного персонала;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охране труда;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проверке знаний пожарно-технического минимума  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оказанию первой помощи пострадавшему;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удостоверение по обучению по высоте 3 или 2 группа (при выполнении работ на высоте).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квалифицированным рабочим: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 xml:space="preserve">- квалификационные удостоверения по профессии; 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охране труда;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оказанию первой помощи пострадавшему;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удостоверение по обучению по высоте 1 или 2 группа (при выполнении работ на высоте).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удостоверение стропальщика;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специалисту по охране труда и промышленной безопасности: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охране труда;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удостоверение по обучению по высоте 3 группа.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электробезопасности группа допуска не ниже 3 группы;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оказанию первой помощи пострадавшему;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- удостоверения по проверке знаний пожарно-технического минимума.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Свидетельство НАКС о готовности организации-исполнителя работ к использованию аттестованной технологии сварки на группы технических устройств. 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Свидетельства об аттестации и/или аккредитации собственной или арендованной ЛНМК (Заверенная копия Договора с аттестованной ЛНМК).</w:t>
            </w:r>
          </w:p>
          <w:p w:rsidR="003A2D04" w:rsidRPr="00763E5E" w:rsidRDefault="003A2D04" w:rsidP="003A2D04">
            <w:pPr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Квалификационные удостоверения специалистов НК на необходимые виды/методы и объекты контроля.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Уведомления НОСТРОЙ о включении сведений и о присвоении идентификационного номера в Национальном реестре специалистов в области строительства, подтверждающие наличие в штате Претендента не менее 2 работников.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Подрядчик имеет право привлекать к выполнению отдельного вида работ субподрядные организации только по предварительному согласованию с Заказчиком, но не более 30 % от общего объёма работ. В случае намерения привлечения Участником открытого тендера субподрядной организации, необходимо к предложению представить необходимые документы, подтверждающие квалификацию субподрядчика (выписку из реестра СРО субподрядчика, сведения о профессиональной и деловой репутации субподрядчика).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Кандидатуры субподрядчиков подлежат обязательному предварительному согласованию с Заказчиком.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На момент подведения итогов тендера Подрядчик обязан предоставить перечень субподрядных организаций и подтверждающие документы на персонал субподрядчика.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bCs/>
                <w:sz w:val="22"/>
              </w:rPr>
              <w:t>Подрядчик обязан применять сквозные условия в договорах с субподрядчиками.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11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sz w:val="22"/>
              </w:rPr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63E5E">
              <w:rPr>
                <w:bCs/>
                <w:sz w:val="22"/>
              </w:rPr>
              <w:t xml:space="preserve">. </w:t>
            </w:r>
          </w:p>
          <w:p w:rsidR="003A2D04" w:rsidRPr="00763E5E" w:rsidRDefault="003A2D04" w:rsidP="003A2D04">
            <w:pPr>
              <w:jc w:val="both"/>
              <w:rPr>
                <w:bCs/>
                <w:sz w:val="22"/>
              </w:rPr>
            </w:pPr>
            <w:r w:rsidRPr="00763E5E">
              <w:rPr>
                <w:sz w:val="22"/>
              </w:rPr>
              <w:lastRenderedPageBreak/>
              <w:t xml:space="preserve">Должен иметь устойчивое финансовое положение. Степень загруженности </w:t>
            </w:r>
            <w:r w:rsidRPr="00763E5E">
              <w:rPr>
                <w:bCs/>
                <w:sz w:val="22"/>
              </w:rPr>
              <w:t>Подрядчика</w:t>
            </w:r>
            <w:r w:rsidRPr="00763E5E">
              <w:rPr>
                <w:sz w:val="22"/>
              </w:rPr>
              <w:t xml:space="preserve"> должна обеспечивать ему возможность выполнения работ по данному </w:t>
            </w:r>
            <w:proofErr w:type="spellStart"/>
            <w:r w:rsidRPr="00763E5E">
              <w:rPr>
                <w:sz w:val="22"/>
              </w:rPr>
              <w:t>тех.заданию</w:t>
            </w:r>
            <w:proofErr w:type="spellEnd"/>
            <w:r w:rsidRPr="00763E5E">
              <w:rPr>
                <w:sz w:val="22"/>
              </w:rPr>
              <w:t xml:space="preserve"> по итогам процедуры выбора </w:t>
            </w:r>
            <w:r w:rsidRPr="00763E5E">
              <w:rPr>
                <w:bCs/>
                <w:sz w:val="22"/>
              </w:rPr>
              <w:t>Подрядчика</w:t>
            </w:r>
            <w:r w:rsidRPr="00763E5E">
              <w:rPr>
                <w:sz w:val="22"/>
              </w:rPr>
              <w:t xml:space="preserve"> без ущерба для Заказчика, в случае заключения Договора по результатам тендера.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11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Организация, претендующая на выполнение работ: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- должна являться действующим членом СРО с правом выполнять работы по строительству, объектов капитального строительства по договору строительного подряда: 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</w:tc>
      </w:tr>
      <w:tr w:rsidR="003A2D04" w:rsidRPr="00DD0D4C" w:rsidTr="00E86293">
        <w:trPr>
          <w:trHeight w:val="459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3A2D04" w:rsidRPr="0075476F" w:rsidRDefault="003A2D04" w:rsidP="003A2D04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12. КОММЕРЧЕСКАЯ ЧАСТЬ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DD0D4C" w:rsidRDefault="003A2D04" w:rsidP="003A2D04">
            <w:pPr>
              <w:ind w:right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  <w:r w:rsidRPr="00DD0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Форма оплаты – безналичная.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Валюта – Российский рубль (</w:t>
            </w:r>
            <w:r w:rsidRPr="00763E5E">
              <w:rPr>
                <w:sz w:val="22"/>
                <w:lang w:val="en-US"/>
              </w:rPr>
              <w:t>RUB</w:t>
            </w:r>
            <w:r w:rsidRPr="00763E5E">
              <w:rPr>
                <w:sz w:val="22"/>
              </w:rPr>
              <w:t>).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5476F" w:rsidRDefault="003A2D04" w:rsidP="003A2D0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numPr>
                <w:ilvl w:val="0"/>
                <w:numId w:val="9"/>
              </w:numPr>
              <w:autoSpaceDE w:val="0"/>
              <w:autoSpaceDN w:val="0"/>
              <w:ind w:left="4" w:firstLine="163"/>
              <w:jc w:val="both"/>
              <w:rPr>
                <w:color w:val="000000"/>
                <w:sz w:val="22"/>
              </w:rPr>
            </w:pPr>
            <w:r w:rsidRPr="00763E5E">
              <w:rPr>
                <w:color w:val="000000"/>
                <w:sz w:val="22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9C46C4" w:rsidRPr="009C46C4" w:rsidRDefault="009C46C4" w:rsidP="00530FDE">
            <w:pPr>
              <w:numPr>
                <w:ilvl w:val="0"/>
                <w:numId w:val="9"/>
              </w:numPr>
              <w:autoSpaceDE w:val="0"/>
              <w:autoSpaceDN w:val="0"/>
              <w:ind w:left="0" w:firstLine="3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Смета </w:t>
            </w:r>
            <w:r w:rsidRPr="009C46C4">
              <w:rPr>
                <w:color w:val="000000"/>
                <w:sz w:val="22"/>
              </w:rPr>
              <w:t xml:space="preserve">предоставляется Заказчиком (в формате «ГРАНД-Смета») </w:t>
            </w:r>
            <w:r>
              <w:rPr>
                <w:color w:val="000000"/>
                <w:sz w:val="22"/>
              </w:rPr>
              <w:t xml:space="preserve">в </w:t>
            </w:r>
            <w:r w:rsidRPr="009C46C4">
              <w:rPr>
                <w:color w:val="000000"/>
                <w:sz w:val="22"/>
              </w:rPr>
              <w:t>Приложени</w:t>
            </w:r>
            <w:r>
              <w:rPr>
                <w:color w:val="000000"/>
                <w:sz w:val="22"/>
              </w:rPr>
              <w:t>и</w:t>
            </w:r>
            <w:r w:rsidRPr="009C46C4">
              <w:rPr>
                <w:color w:val="000000"/>
                <w:sz w:val="22"/>
              </w:rPr>
              <w:t xml:space="preserve"> №</w:t>
            </w:r>
            <w:r>
              <w:rPr>
                <w:color w:val="000000"/>
                <w:sz w:val="22"/>
              </w:rPr>
              <w:t>2, информационно,</w:t>
            </w:r>
            <w:r w:rsidRPr="009C46C4">
              <w:rPr>
                <w:color w:val="000000"/>
                <w:sz w:val="22"/>
              </w:rPr>
              <w:t xml:space="preserve"> в составе закупочной документации, может быть принята без изменений или откорректирована Подрядчиком на основании технической документации</w:t>
            </w:r>
            <w:r>
              <w:rPr>
                <w:color w:val="000000"/>
                <w:sz w:val="22"/>
              </w:rPr>
              <w:t xml:space="preserve"> путем </w:t>
            </w:r>
            <w:r w:rsidR="00530FDE">
              <w:rPr>
                <w:color w:val="000000"/>
                <w:sz w:val="22"/>
              </w:rPr>
              <w:t xml:space="preserve">ввода дополнительного </w:t>
            </w:r>
            <w:r w:rsidR="00530FDE" w:rsidRPr="00530FDE">
              <w:rPr>
                <w:b/>
                <w:color w:val="000000"/>
                <w:sz w:val="22"/>
              </w:rPr>
              <w:t>Договорного коэффициента к сметной стоимости</w:t>
            </w:r>
            <w:r w:rsidR="00530FDE">
              <w:rPr>
                <w:color w:val="000000"/>
                <w:sz w:val="22"/>
              </w:rPr>
              <w:t xml:space="preserve">. </w:t>
            </w:r>
            <w:r w:rsidR="00530FDE" w:rsidRPr="00530FDE">
              <w:rPr>
                <w:color w:val="000000"/>
                <w:sz w:val="22"/>
              </w:rPr>
              <w:t>Коэффициент применяется при расчете стоимости строительно-монтажных работ, за исключением стоимости материально-технических ресурсов. Коэффициент фиксируется при направлении ТКП и дальнейшей корректировке не подлежит.</w:t>
            </w:r>
            <w:r w:rsidRPr="009C46C4">
              <w:rPr>
                <w:color w:val="000000"/>
                <w:sz w:val="22"/>
              </w:rPr>
              <w:t xml:space="preserve"> </w:t>
            </w:r>
            <w:r w:rsidR="00530FDE">
              <w:rPr>
                <w:color w:val="000000"/>
                <w:sz w:val="22"/>
              </w:rPr>
              <w:t xml:space="preserve">Смета, составленная Подрядчикам должна соответствовать </w:t>
            </w:r>
            <w:r w:rsidR="00530FDE" w:rsidRPr="009C46C4">
              <w:rPr>
                <w:color w:val="000000"/>
                <w:sz w:val="22"/>
              </w:rPr>
              <w:t>п</w:t>
            </w:r>
            <w:r w:rsidR="00530FDE">
              <w:rPr>
                <w:color w:val="000000"/>
                <w:sz w:val="22"/>
              </w:rPr>
              <w:t>риведенным</w:t>
            </w:r>
            <w:r w:rsidR="00530FDE" w:rsidRPr="009C46C4">
              <w:rPr>
                <w:color w:val="000000"/>
                <w:sz w:val="22"/>
              </w:rPr>
              <w:t xml:space="preserve"> </w:t>
            </w:r>
            <w:r w:rsidR="00530FDE">
              <w:rPr>
                <w:color w:val="000000"/>
                <w:sz w:val="22"/>
              </w:rPr>
              <w:t>т</w:t>
            </w:r>
            <w:r w:rsidRPr="009C46C4">
              <w:rPr>
                <w:color w:val="000000"/>
                <w:sz w:val="22"/>
              </w:rPr>
              <w:t>ребовани</w:t>
            </w:r>
            <w:r w:rsidR="00530FDE">
              <w:rPr>
                <w:color w:val="000000"/>
                <w:sz w:val="22"/>
              </w:rPr>
              <w:t xml:space="preserve">ям </w:t>
            </w:r>
            <w:r w:rsidRPr="009C46C4">
              <w:rPr>
                <w:color w:val="000000"/>
                <w:sz w:val="22"/>
              </w:rPr>
              <w:t xml:space="preserve">в Техническом задании и согласовывается Сторонами. В случае отсутствия смет или возникновения дополнительных объемов работ во время их производства, для ускорения работ, Подрядчик самостоятельно разрабатывает локальные сметные расчеты и передает их на утверждение Заказчику. </w:t>
            </w:r>
          </w:p>
          <w:p w:rsidR="009C46C4" w:rsidRPr="009C46C4" w:rsidRDefault="009C46C4" w:rsidP="009C46C4">
            <w:pPr>
              <w:autoSpaceDE w:val="0"/>
              <w:autoSpaceDN w:val="0"/>
              <w:ind w:left="4" w:firstLine="163"/>
              <w:jc w:val="both"/>
              <w:rPr>
                <w:color w:val="000000"/>
                <w:sz w:val="22"/>
              </w:rPr>
            </w:pPr>
            <w:r w:rsidRPr="009C46C4">
              <w:rPr>
                <w:color w:val="000000"/>
                <w:sz w:val="22"/>
              </w:rPr>
              <w:t>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3A2D04" w:rsidRPr="00763E5E" w:rsidRDefault="003A2D04" w:rsidP="003A2D04">
            <w:pPr>
              <w:numPr>
                <w:ilvl w:val="0"/>
                <w:numId w:val="9"/>
              </w:numPr>
              <w:autoSpaceDE w:val="0"/>
              <w:autoSpaceDN w:val="0"/>
              <w:ind w:left="4" w:firstLine="163"/>
              <w:jc w:val="both"/>
              <w:rPr>
                <w:color w:val="000000"/>
                <w:sz w:val="22"/>
              </w:rPr>
            </w:pPr>
            <w:r w:rsidRPr="00763E5E">
              <w:rPr>
                <w:color w:val="000000"/>
                <w:sz w:val="22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763E5E">
              <w:rPr>
                <w:color w:val="000000"/>
                <w:sz w:val="22"/>
              </w:rPr>
              <w:t>изм</w:t>
            </w:r>
            <w:proofErr w:type="spellEnd"/>
            <w:r w:rsidRPr="00763E5E">
              <w:rPr>
                <w:color w:val="000000"/>
                <w:sz w:val="22"/>
              </w:rPr>
              <w:t xml:space="preserve">, в соответствии с методом разработки СД, выданной Заказчиком. </w:t>
            </w:r>
          </w:p>
          <w:p w:rsidR="003A2D04" w:rsidRPr="00763E5E" w:rsidRDefault="003A2D04" w:rsidP="003A2D04">
            <w:pPr>
              <w:autoSpaceDE w:val="0"/>
              <w:autoSpaceDN w:val="0"/>
              <w:ind w:left="551"/>
              <w:jc w:val="both"/>
              <w:rPr>
                <w:color w:val="000000"/>
                <w:sz w:val="22"/>
              </w:rPr>
            </w:pPr>
            <w:r w:rsidRPr="00763E5E">
              <w:rPr>
                <w:color w:val="000000"/>
                <w:sz w:val="22"/>
              </w:rPr>
              <w:t>Стоимость формируется в прогнозном уровне цен на весь период строительства.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t>Стоимость работ в локальных сметных расчетах</w:t>
            </w:r>
            <w:r w:rsidRPr="00763E5E">
              <w:rPr>
                <w:sz w:val="22"/>
              </w:rPr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  <w:u w:val="single"/>
              </w:rPr>
            </w:pPr>
            <w:r w:rsidRPr="00763E5E">
              <w:rPr>
                <w:sz w:val="22"/>
                <w:u w:val="single"/>
              </w:rPr>
              <w:t>Стоимость материальных ресурсов определяется: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</w:rPr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</w:rPr>
              <w:t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материалов/конструкций в других регионах прайс-листы должны учитывать их транспортировку в регион. 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t>Заготовительно-складские расходы</w:t>
            </w:r>
            <w:r w:rsidRPr="00763E5E">
              <w:rPr>
                <w:sz w:val="22"/>
              </w:rPr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763E5E">
              <w:rPr>
                <w:sz w:val="22"/>
              </w:rPr>
              <w:t>приобъектного</w:t>
            </w:r>
            <w:proofErr w:type="spellEnd"/>
            <w:r w:rsidRPr="00763E5E">
              <w:rPr>
                <w:sz w:val="22"/>
              </w:rPr>
              <w:t xml:space="preserve"> склада) приказ от 08.08.2022 №648/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lastRenderedPageBreak/>
              <w:t>Усложняющие факторы и условия производства работ</w:t>
            </w:r>
            <w:r w:rsidRPr="00763E5E">
              <w:rPr>
                <w:sz w:val="22"/>
              </w:rPr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 от 08.08.2022г и технической части сборников.  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t>Накладные расходы на СМР, ПНР</w:t>
            </w:r>
            <w:r w:rsidRPr="00763E5E">
              <w:rPr>
                <w:sz w:val="22"/>
              </w:rPr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 от 02.09.2021г, Приказом 611/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 от 26.07.2022г.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t>Сметная прибыль на СМР, ПНР</w:t>
            </w:r>
            <w:r w:rsidRPr="00763E5E">
              <w:rPr>
                <w:sz w:val="22"/>
              </w:rPr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763E5E">
              <w:rPr>
                <w:sz w:val="22"/>
              </w:rPr>
              <w:t>пр</w:t>
            </w:r>
            <w:proofErr w:type="spellEnd"/>
            <w:r w:rsidRPr="00763E5E">
              <w:rPr>
                <w:sz w:val="22"/>
              </w:rPr>
              <w:t xml:space="preserve"> с учетом изменений, внесенных Приказом 317/пр.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rFonts w:eastAsia="Calibri"/>
                <w:color w:val="000000"/>
                <w:sz w:val="22"/>
                <w:u w:val="single"/>
              </w:rPr>
              <w:t>Затраты на вахтовый метод работ</w:t>
            </w:r>
            <w:r w:rsidRPr="00763E5E">
              <w:rPr>
                <w:rFonts w:eastAsia="Calibri"/>
                <w:color w:val="000000"/>
                <w:sz w:val="22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3A2D04" w:rsidRPr="00763E5E" w:rsidRDefault="003A2D04" w:rsidP="003A2D04">
            <w:pPr>
              <w:pStyle w:val="a3"/>
              <w:ind w:left="125" w:firstLine="426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63E5E">
              <w:rPr>
                <w:u w:val="single"/>
              </w:rPr>
              <w:t>Зимнее удорожани</w:t>
            </w:r>
            <w:r w:rsidRPr="00763E5E">
              <w:t xml:space="preserve">е </w:t>
            </w:r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принимать в соответствии с Методикой по Пр. Минстроя РФ от 25.05.2021 №325/</w:t>
            </w:r>
            <w:proofErr w:type="spellStart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3A2D04" w:rsidRPr="00763E5E" w:rsidRDefault="003A2D04" w:rsidP="003A2D04">
            <w:pPr>
              <w:pStyle w:val="a3"/>
              <w:spacing w:after="0"/>
              <w:ind w:left="125" w:firstLine="426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63E5E">
              <w:rPr>
                <w:u w:val="single"/>
              </w:rPr>
              <w:t>Временные здания и сооружения</w:t>
            </w:r>
            <w:r w:rsidRPr="00763E5E">
              <w:t xml:space="preserve"> (</w:t>
            </w:r>
            <w:proofErr w:type="spellStart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ВЗиС</w:t>
            </w:r>
            <w:proofErr w:type="spellEnd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) принимать в соответствии с Методикой по Пр. Минстроя России от 19.06.2020г. №332/</w:t>
            </w:r>
            <w:proofErr w:type="spellStart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763E5E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  <w:u w:val="single"/>
              </w:rPr>
              <w:t>Резерв средств на непредвиденные затраты</w:t>
            </w:r>
            <w:r w:rsidRPr="00763E5E">
              <w:rPr>
                <w:sz w:val="22"/>
              </w:rPr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3A2D04" w:rsidRPr="00763E5E" w:rsidRDefault="003A2D04" w:rsidP="003A2D04">
            <w:pPr>
              <w:autoSpaceDE w:val="0"/>
              <w:autoSpaceDN w:val="0"/>
              <w:ind w:left="125" w:firstLine="426"/>
              <w:jc w:val="both"/>
              <w:rPr>
                <w:sz w:val="22"/>
              </w:rPr>
            </w:pPr>
            <w:r w:rsidRPr="00763E5E">
              <w:rPr>
                <w:sz w:val="22"/>
              </w:rPr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3A2D04" w:rsidRPr="00763E5E" w:rsidRDefault="003A2D04" w:rsidP="003A2D04">
            <w:pPr>
              <w:numPr>
                <w:ilvl w:val="0"/>
                <w:numId w:val="9"/>
              </w:numPr>
              <w:autoSpaceDE w:val="0"/>
              <w:autoSpaceDN w:val="0"/>
              <w:ind w:left="0" w:firstLine="288"/>
              <w:jc w:val="both"/>
              <w:rPr>
                <w:sz w:val="22"/>
              </w:rPr>
            </w:pPr>
            <w:r w:rsidRPr="00763E5E">
              <w:rPr>
                <w:rFonts w:eastAsia="Calibri"/>
                <w:color w:val="000000"/>
                <w:sz w:val="22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3A2D04" w:rsidRPr="00763E5E" w:rsidRDefault="003A2D04" w:rsidP="003A2D04">
            <w:pPr>
              <w:autoSpaceDE w:val="0"/>
              <w:autoSpaceDN w:val="0"/>
              <w:ind w:firstLine="288"/>
              <w:jc w:val="both"/>
              <w:rPr>
                <w:sz w:val="22"/>
              </w:rPr>
            </w:pPr>
            <w:r w:rsidRPr="00763E5E">
              <w:rPr>
                <w:sz w:val="22"/>
              </w:rPr>
              <w:t xml:space="preserve">Коэффициент начисляется для приведения итоговой сметной стоимости к стоимости Договора. </w:t>
            </w:r>
          </w:p>
          <w:p w:rsidR="003A2D04" w:rsidRPr="00763E5E" w:rsidRDefault="003A2D04" w:rsidP="003A2D04">
            <w:pPr>
              <w:autoSpaceDE w:val="0"/>
              <w:autoSpaceDN w:val="0"/>
              <w:ind w:firstLine="288"/>
              <w:jc w:val="both"/>
              <w:rPr>
                <w:sz w:val="22"/>
              </w:rPr>
            </w:pPr>
            <w:r w:rsidRPr="00763E5E">
              <w:rPr>
                <w:sz w:val="22"/>
              </w:rPr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3A2D04" w:rsidRPr="00763E5E" w:rsidRDefault="003A2D04" w:rsidP="003A2D04">
            <w:pPr>
              <w:autoSpaceDE w:val="0"/>
              <w:autoSpaceDN w:val="0"/>
              <w:ind w:firstLine="288"/>
              <w:jc w:val="both"/>
              <w:rPr>
                <w:sz w:val="22"/>
              </w:rPr>
            </w:pPr>
            <w:r w:rsidRPr="00763E5E">
              <w:rPr>
                <w:sz w:val="22"/>
              </w:rPr>
              <w:t>Коэффициент применяется при расчете стоимости строительно-монтажных работ, за исключением стоимости материально-технических ресурсов.</w:t>
            </w:r>
          </w:p>
          <w:p w:rsidR="003A2D04" w:rsidRPr="00763E5E" w:rsidRDefault="003A2D04" w:rsidP="003A2D04">
            <w:pPr>
              <w:autoSpaceDE w:val="0"/>
              <w:autoSpaceDN w:val="0"/>
              <w:ind w:firstLine="288"/>
              <w:jc w:val="both"/>
              <w:rPr>
                <w:sz w:val="22"/>
              </w:rPr>
            </w:pPr>
            <w:r w:rsidRPr="00763E5E">
              <w:rPr>
                <w:sz w:val="22"/>
              </w:rPr>
              <w:t>Коэффициент фиксируется при направлении ТКП и дальнейшей корректировке не подлежит.</w:t>
            </w:r>
          </w:p>
          <w:p w:rsidR="003A2D04" w:rsidRPr="00763E5E" w:rsidRDefault="003A2D04" w:rsidP="003A2D04">
            <w:pPr>
              <w:numPr>
                <w:ilvl w:val="0"/>
                <w:numId w:val="9"/>
              </w:numPr>
              <w:autoSpaceDE w:val="0"/>
              <w:autoSpaceDN w:val="0"/>
              <w:ind w:left="0" w:firstLine="288"/>
              <w:jc w:val="both"/>
              <w:rPr>
                <w:sz w:val="22"/>
              </w:rPr>
            </w:pPr>
            <w:r w:rsidRPr="00763E5E">
              <w:rPr>
                <w:sz w:val="22"/>
              </w:rPr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763E5E">
              <w:rPr>
                <w:sz w:val="22"/>
              </w:rPr>
              <w:t>Кп</w:t>
            </w:r>
            <w:proofErr w:type="spellEnd"/>
            <w:r w:rsidRPr="00763E5E">
              <w:rPr>
                <w:sz w:val="22"/>
              </w:rPr>
              <w:t xml:space="preserve"> – понижающий коэффициент.</w:t>
            </w:r>
          </w:p>
          <w:p w:rsidR="003A2D04" w:rsidRPr="00763E5E" w:rsidRDefault="003A2D04" w:rsidP="003A2D04">
            <w:pPr>
              <w:autoSpaceDE w:val="0"/>
              <w:autoSpaceDN w:val="0"/>
              <w:ind w:firstLine="288"/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</w:rPr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F57B0C" w:rsidRDefault="003A2D04" w:rsidP="003A2D04">
            <w:pPr>
              <w:ind w:right="48"/>
              <w:jc w:val="center"/>
              <w:rPr>
                <w:color w:val="000000"/>
                <w:lang w:val="en-US"/>
              </w:rPr>
            </w:pPr>
            <w:r w:rsidRPr="0075476F">
              <w:rPr>
                <w:color w:val="000000"/>
              </w:rPr>
              <w:lastRenderedPageBreak/>
              <w:t>12.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Допускается авансирование работ в объеме до 50% стоимости договора. Авансирование осуществляется при предоставлении Подрядчиком</w:t>
            </w:r>
            <w:r>
              <w:rPr>
                <w:sz w:val="22"/>
              </w:rPr>
              <w:t xml:space="preserve"> </w:t>
            </w:r>
            <w:r w:rsidRPr="00763E5E">
              <w:rPr>
                <w:sz w:val="22"/>
              </w:rPr>
              <w:t>Банковской гарантии возврата авансового платежа в размере аванса.  Текст банковской гарантии и банк согласовывается с Заказчиком заранее.</w:t>
            </w:r>
          </w:p>
          <w:p w:rsidR="003A2D04" w:rsidRPr="00763E5E" w:rsidRDefault="003A2D04" w:rsidP="003A2D04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3A2D04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F57B0C" w:rsidRDefault="003A2D04" w:rsidP="003A2D04">
            <w:pPr>
              <w:ind w:right="48"/>
              <w:jc w:val="center"/>
              <w:rPr>
                <w:color w:val="000000"/>
                <w:lang w:val="en-US"/>
              </w:rPr>
            </w:pPr>
            <w:r w:rsidRPr="0075476F">
              <w:rPr>
                <w:color w:val="000000"/>
              </w:rPr>
              <w:t>12.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A2D04" w:rsidRPr="00763E5E" w:rsidRDefault="003A2D04" w:rsidP="0081260A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Приёмка Работ производится ежемесячно по фактически выполненным объемам Работ. Подрядчик не позднее 25-го числ</w:t>
            </w:r>
            <w:r w:rsidR="005A6B68">
              <w:rPr>
                <w:sz w:val="22"/>
              </w:rPr>
              <w:t xml:space="preserve">а каждого месяца предоставляет </w:t>
            </w:r>
            <w:r w:rsidRPr="00763E5E">
              <w:rPr>
                <w:sz w:val="22"/>
              </w:rPr>
              <w:t>оформленные и согласо</w:t>
            </w:r>
            <w:r>
              <w:rPr>
                <w:sz w:val="22"/>
              </w:rPr>
              <w:t xml:space="preserve">ванные с Заказчиком акты о </w:t>
            </w:r>
            <w:r w:rsidRPr="00763E5E">
              <w:rPr>
                <w:sz w:val="22"/>
              </w:rPr>
              <w:t>приемке</w:t>
            </w:r>
            <w:r>
              <w:rPr>
                <w:sz w:val="22"/>
              </w:rPr>
              <w:t xml:space="preserve"> </w:t>
            </w:r>
            <w:r w:rsidRPr="00763E5E">
              <w:rPr>
                <w:sz w:val="22"/>
              </w:rPr>
              <w:t>выполненных работ унифицированной формы КС-2</w:t>
            </w:r>
            <w:r w:rsidR="0081260A">
              <w:rPr>
                <w:sz w:val="22"/>
              </w:rPr>
              <w:t xml:space="preserve"> на основе </w:t>
            </w:r>
            <w:proofErr w:type="spellStart"/>
            <w:r w:rsidR="0081260A">
              <w:rPr>
                <w:sz w:val="22"/>
              </w:rPr>
              <w:t>заполненых</w:t>
            </w:r>
            <w:proofErr w:type="spellEnd"/>
            <w:r w:rsidR="0081260A">
              <w:rPr>
                <w:sz w:val="22"/>
              </w:rPr>
              <w:t xml:space="preserve"> журналов учета выполненных работ КС-6а</w:t>
            </w:r>
            <w:r w:rsidRPr="00763E5E">
              <w:rPr>
                <w:sz w:val="22"/>
              </w:rPr>
              <w:t>, справки о стоимости выполненных работ и затрат унифицированной формы КС-3, журн</w:t>
            </w:r>
            <w:r w:rsidR="0081260A">
              <w:rPr>
                <w:sz w:val="22"/>
              </w:rPr>
              <w:t>ал унифицированной формы КС-6,</w:t>
            </w:r>
            <w:r w:rsidRPr="00763E5E">
              <w:rPr>
                <w:sz w:val="22"/>
              </w:rPr>
              <w:t xml:space="preserve"> оригинал счета-фактуры и оригинал счета на оплату</w:t>
            </w:r>
            <w:r>
              <w:rPr>
                <w:sz w:val="22"/>
              </w:rPr>
              <w:t xml:space="preserve"> </w:t>
            </w:r>
            <w:r w:rsidRPr="001B2F54">
              <w:rPr>
                <w:sz w:val="22"/>
                <w:u w:val="single"/>
              </w:rPr>
              <w:t xml:space="preserve">по каждому </w:t>
            </w:r>
            <w:r w:rsidR="006C2CBE">
              <w:rPr>
                <w:sz w:val="22"/>
                <w:u w:val="single"/>
              </w:rPr>
              <w:t>зданию/сооружению</w:t>
            </w:r>
            <w:r w:rsidRPr="001B2F54">
              <w:rPr>
                <w:sz w:val="22"/>
                <w:u w:val="single"/>
              </w:rPr>
              <w:t xml:space="preserve"> отдельно</w:t>
            </w:r>
            <w:r w:rsidRPr="00763E5E">
              <w:rPr>
                <w:sz w:val="22"/>
              </w:rPr>
              <w:t xml:space="preserve">. </w:t>
            </w:r>
            <w:r w:rsidR="00F768E6" w:rsidRPr="00F768E6">
              <w:rPr>
                <w:sz w:val="22"/>
              </w:rPr>
              <w:t xml:space="preserve">Заказчик в течение 15 (пятнадцати) рабочих дней от даты получения документации, должен подписать </w:t>
            </w:r>
            <w:r w:rsidR="00F768E6">
              <w:rPr>
                <w:sz w:val="22"/>
              </w:rPr>
              <w:t>а</w:t>
            </w:r>
            <w:r w:rsidR="00F768E6" w:rsidRPr="00F768E6">
              <w:rPr>
                <w:sz w:val="22"/>
              </w:rPr>
              <w:t xml:space="preserve">кт о приемке выполненных работ или в тот же срок направить Подрядчику письменный мотивированный отказ от приемки работ. </w:t>
            </w:r>
            <w:r w:rsidRPr="00763E5E">
              <w:rPr>
                <w:sz w:val="22"/>
              </w:rPr>
              <w:t xml:space="preserve">Для составления актов по форме КС-2 и справок по форме КС-3 применяются унифицированные формы, утвержденные Постановлением Госкомстата РФ от 11.11.99 № 100. </w:t>
            </w:r>
            <w:r w:rsidRPr="00763E5E">
              <w:rPr>
                <w:sz w:val="22"/>
              </w:rPr>
              <w:lastRenderedPageBreak/>
              <w:t>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</w:tc>
      </w:tr>
      <w:tr w:rsidR="006C2CBE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Pr="006C2CBE" w:rsidRDefault="006C2CBE" w:rsidP="006C2CBE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</w:t>
            </w:r>
            <w:r>
              <w:rPr>
                <w:color w:val="000000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Pr="00763E5E" w:rsidRDefault="00C102F9" w:rsidP="006C2CB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Предварительная </w:t>
            </w:r>
            <w:r w:rsidRPr="00763E5E">
              <w:rPr>
                <w:sz w:val="22"/>
              </w:rPr>
              <w:t>Приемка Работ</w:t>
            </w:r>
            <w:r>
              <w:rPr>
                <w:sz w:val="22"/>
              </w:rPr>
              <w:t xml:space="preserve"> по Промежуточному акту приема-передачи</w:t>
            </w:r>
            <w:r w:rsidRPr="00763E5E">
              <w:rPr>
                <w:sz w:val="22"/>
              </w:rPr>
              <w:t xml:space="preserve"> результата выполненных работ</w:t>
            </w:r>
            <w:r>
              <w:rPr>
                <w:sz w:val="22"/>
              </w:rPr>
              <w:t xml:space="preserve"> </w:t>
            </w:r>
            <w:r w:rsidRPr="001B2F54">
              <w:rPr>
                <w:sz w:val="22"/>
                <w:u w:val="single"/>
              </w:rPr>
              <w:t>по зданию/</w:t>
            </w:r>
            <w:r w:rsidRPr="006C2CBE">
              <w:rPr>
                <w:sz w:val="22"/>
                <w:u w:val="single"/>
              </w:rPr>
              <w:t xml:space="preserve">сооружению </w:t>
            </w:r>
            <w:r>
              <w:rPr>
                <w:sz w:val="22"/>
                <w:u w:val="single"/>
              </w:rPr>
              <w:t xml:space="preserve">(по каждому </w:t>
            </w:r>
            <w:r w:rsidRPr="006C2CBE">
              <w:rPr>
                <w:sz w:val="22"/>
                <w:u w:val="single"/>
              </w:rPr>
              <w:t>отдельно</w:t>
            </w:r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 осуществляется в течение 5 (Пяти</w:t>
            </w:r>
            <w:r w:rsidRPr="00763E5E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рабочих </w:t>
            </w:r>
            <w:r w:rsidRPr="00763E5E">
              <w:rPr>
                <w:sz w:val="22"/>
              </w:rPr>
              <w:t xml:space="preserve">дней после получения сообщения Подрядчика о выполнении </w:t>
            </w:r>
            <w:r>
              <w:rPr>
                <w:sz w:val="22"/>
              </w:rPr>
              <w:t>промежуточного</w:t>
            </w:r>
            <w:r w:rsidRPr="00763E5E">
              <w:rPr>
                <w:sz w:val="22"/>
              </w:rPr>
              <w:t xml:space="preserve"> объёма Работ, при условии отсутствия не устранённых Дефе</w:t>
            </w:r>
            <w:r w:rsidR="006C2CBE" w:rsidRPr="00763E5E">
              <w:rPr>
                <w:sz w:val="22"/>
              </w:rPr>
              <w:t>ктов в принятых ранее Работах.</w:t>
            </w:r>
          </w:p>
          <w:p w:rsidR="006C2CBE" w:rsidRPr="00763E5E" w:rsidRDefault="006C2CBE" w:rsidP="006C2CBE">
            <w:pPr>
              <w:jc w:val="both"/>
              <w:rPr>
                <w:sz w:val="22"/>
              </w:rPr>
            </w:pPr>
          </w:p>
        </w:tc>
      </w:tr>
      <w:tr w:rsidR="006C2CBE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Pr="00F57B0C" w:rsidRDefault="006C2CBE" w:rsidP="006C2CBE">
            <w:pPr>
              <w:ind w:right="48"/>
              <w:jc w:val="center"/>
              <w:rPr>
                <w:color w:val="000000"/>
                <w:lang w:val="en-US"/>
              </w:rPr>
            </w:pPr>
            <w:r w:rsidRPr="0075476F">
              <w:rPr>
                <w:color w:val="000000"/>
              </w:rPr>
              <w:t>12.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Default="006C2CBE" w:rsidP="006C2CB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Окончательная </w:t>
            </w:r>
            <w:r w:rsidRPr="00763E5E">
              <w:rPr>
                <w:sz w:val="22"/>
              </w:rPr>
              <w:t>Приемка Работ</w:t>
            </w:r>
            <w:r>
              <w:rPr>
                <w:sz w:val="22"/>
              </w:rPr>
              <w:t xml:space="preserve"> в полном объеме по Акту приема-передачи</w:t>
            </w:r>
            <w:r w:rsidRPr="00763E5E">
              <w:rPr>
                <w:sz w:val="22"/>
              </w:rPr>
              <w:t xml:space="preserve"> результата выполненных работ</w:t>
            </w:r>
            <w:r>
              <w:rPr>
                <w:sz w:val="22"/>
              </w:rPr>
              <w:t xml:space="preserve"> </w:t>
            </w:r>
            <w:r w:rsidRPr="001B2F54">
              <w:rPr>
                <w:sz w:val="22"/>
                <w:u w:val="single"/>
              </w:rPr>
              <w:t xml:space="preserve">по </w:t>
            </w:r>
            <w:r>
              <w:rPr>
                <w:sz w:val="22"/>
                <w:u w:val="single"/>
              </w:rPr>
              <w:t>Объекту</w:t>
            </w:r>
            <w:r>
              <w:rPr>
                <w:sz w:val="22"/>
              </w:rPr>
              <w:t xml:space="preserve"> осуществляется в течение 5 (Пяти</w:t>
            </w:r>
            <w:r w:rsidRPr="00763E5E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рабочих </w:t>
            </w:r>
            <w:r w:rsidRPr="00763E5E">
              <w:rPr>
                <w:sz w:val="22"/>
              </w:rPr>
              <w:t>дней после получения сообщения Подрядчика о выполнении всего объёма Работ, при условии</w:t>
            </w:r>
            <w:r>
              <w:rPr>
                <w:sz w:val="22"/>
              </w:rPr>
              <w:t>:</w:t>
            </w:r>
          </w:p>
          <w:p w:rsidR="006C2CBE" w:rsidRPr="006C2CBE" w:rsidRDefault="006C2CBE" w:rsidP="006C2CB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6C2C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тсутствия не устранённых Де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фектов в принятых ранее Работах</w:t>
            </w:r>
            <w:r w:rsidRPr="006C2C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C2CBE" w:rsidRPr="006C2CBE" w:rsidRDefault="006C2CBE" w:rsidP="006C2CB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2C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Подписания с двух сторон промежуточных актов </w:t>
            </w:r>
            <w:r w:rsidR="00C102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приема-передачи результата </w:t>
            </w:r>
            <w:r w:rsidRPr="006C2C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выполненных работ </w:t>
            </w:r>
            <w:r w:rsidR="00C102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r w:rsidRPr="00C102F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зданию/сооружению </w:t>
            </w:r>
            <w:r w:rsidR="00F768E6" w:rsidRPr="00C102F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(по каждому </w:t>
            </w:r>
            <w:r w:rsidRPr="00C102F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отдельно</w:t>
            </w:r>
            <w:r w:rsidR="00F768E6" w:rsidRPr="00C102F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)</w:t>
            </w:r>
            <w:r w:rsidRPr="006C2C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C2CBE" w:rsidRPr="00763E5E" w:rsidRDefault="006C2CBE" w:rsidP="006C2CBE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 xml:space="preserve"> 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4-х экз. на бумажном носителе и в электронном виде (сканированный оригинал ИД на флэш-носителе). Исполнительная документация, предоставляемая Заказчику, должна соответствовать требованиям Приказа Минстроя РФ от 16.05.2023 № 344/ПР, Приказа Минстроя РФ от 02.12.2022 N 1026/ПР, Приказа Минстроя РФ от 02.11.2022 № 929/ПР.</w:t>
            </w:r>
          </w:p>
          <w:p w:rsidR="006C2CBE" w:rsidRPr="00763E5E" w:rsidRDefault="006C2CBE" w:rsidP="006C2CBE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Подп</w:t>
            </w:r>
            <w:r>
              <w:rPr>
                <w:sz w:val="22"/>
              </w:rPr>
              <w:t>исание Заказчиком Акта приема-передачи результата выполненных работ</w:t>
            </w:r>
            <w:r w:rsidRPr="00763E5E">
              <w:rPr>
                <w:sz w:val="22"/>
              </w:rPr>
              <w:t xml:space="preserve"> 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</w:p>
        </w:tc>
      </w:tr>
      <w:tr w:rsidR="006C2CBE" w:rsidRPr="00DD0D4C" w:rsidTr="00E86293">
        <w:trPr>
          <w:trHeight w:val="459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:rsidR="006C2CBE" w:rsidRPr="0075476F" w:rsidRDefault="006C2CBE" w:rsidP="006C2CBE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13. ГАРАНТИЯ</w:t>
            </w:r>
          </w:p>
        </w:tc>
      </w:tr>
      <w:tr w:rsidR="006C2CBE" w:rsidRPr="00DD0D4C" w:rsidTr="00763E5E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Pr="00F57B0C" w:rsidRDefault="006C2CBE" w:rsidP="006C2CBE">
            <w:pPr>
              <w:ind w:right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  <w:r w:rsidRPr="0075476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C2CBE" w:rsidRPr="00763E5E" w:rsidRDefault="006C2CBE" w:rsidP="006C2CBE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Гарантия на выполненные работы и материалы составляет не менее 36 месяцев с</w:t>
            </w:r>
            <w:r>
              <w:rPr>
                <w:sz w:val="22"/>
              </w:rPr>
              <w:t xml:space="preserve"> момента подписания Акта приема-</w:t>
            </w:r>
            <w:r w:rsidRPr="00763E5E">
              <w:rPr>
                <w:sz w:val="22"/>
              </w:rPr>
              <w:t>передачи результата выполненных работ.</w:t>
            </w:r>
          </w:p>
          <w:p w:rsidR="006C2CBE" w:rsidRPr="00763E5E" w:rsidRDefault="006C2CBE" w:rsidP="006C2CBE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 случае выхода из строя в течение гарантийного срока материалов и оборудования, поставленных Подрядчиком, вследствие некачественного монтажа, либо нарушения технологии монтажа, либо нарушений условий транспортировки и хранения, Подрядчик производит их замену и монтаж своими силами и за свой счет в течении срока, согласованного с Заказчиком.</w:t>
            </w:r>
          </w:p>
          <w:p w:rsidR="006C2CBE" w:rsidRPr="00763E5E" w:rsidRDefault="006C2CBE" w:rsidP="006C2CBE">
            <w:pPr>
              <w:jc w:val="both"/>
              <w:rPr>
                <w:sz w:val="22"/>
              </w:rPr>
            </w:pPr>
            <w:r w:rsidRPr="00763E5E">
              <w:rPr>
                <w:sz w:val="22"/>
              </w:rPr>
              <w:t>Все расходы, связанные с устранением выявленных недостатков, дефектов и их последствий, выполняются за счет Подрядчика.</w:t>
            </w:r>
          </w:p>
        </w:tc>
      </w:tr>
    </w:tbl>
    <w:p w:rsidR="00990BB2" w:rsidRDefault="00990BB2" w:rsidP="00794B11">
      <w:pPr>
        <w:tabs>
          <w:tab w:val="left" w:pos="7371"/>
          <w:tab w:val="left" w:pos="8364"/>
        </w:tabs>
        <w:jc w:val="both"/>
        <w:rPr>
          <w:b/>
          <w:bCs/>
          <w:color w:val="000000"/>
        </w:rPr>
      </w:pPr>
    </w:p>
    <w:p w:rsidR="00794B11" w:rsidRPr="006D4F64" w:rsidRDefault="00794B11" w:rsidP="00794B11">
      <w:pPr>
        <w:tabs>
          <w:tab w:val="left" w:pos="7371"/>
          <w:tab w:val="left" w:pos="8364"/>
        </w:tabs>
        <w:jc w:val="both"/>
        <w:rPr>
          <w:b/>
          <w:bCs/>
          <w:color w:val="000000"/>
        </w:rPr>
      </w:pPr>
      <w:r w:rsidRPr="006D4F64">
        <w:rPr>
          <w:b/>
          <w:bCs/>
          <w:color w:val="000000"/>
        </w:rPr>
        <w:t>ПРИЛОЖЕНИЯ:</w:t>
      </w:r>
    </w:p>
    <w:p w:rsidR="00AE1159" w:rsidRPr="00530FDE" w:rsidRDefault="00374E5A" w:rsidP="00841FB3">
      <w:pPr>
        <w:pStyle w:val="Body"/>
        <w:numPr>
          <w:ilvl w:val="0"/>
          <w:numId w:val="1"/>
        </w:numPr>
        <w:tabs>
          <w:tab w:val="left" w:pos="6663"/>
        </w:tabs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Рабочая документация (19 файлов)</w:t>
      </w:r>
      <w:r w:rsidR="00530FDE">
        <w:rPr>
          <w:rFonts w:cs="Times New Roman"/>
          <w:bCs/>
          <w:sz w:val="24"/>
          <w:szCs w:val="24"/>
          <w:lang w:val="en-US"/>
        </w:rPr>
        <w:t>;</w:t>
      </w:r>
    </w:p>
    <w:p w:rsidR="00530FDE" w:rsidRPr="00530FDE" w:rsidRDefault="00530FDE" w:rsidP="00530FDE">
      <w:pPr>
        <w:pStyle w:val="Body"/>
        <w:numPr>
          <w:ilvl w:val="0"/>
          <w:numId w:val="1"/>
        </w:numPr>
        <w:tabs>
          <w:tab w:val="left" w:pos="6663"/>
        </w:tabs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Локально-сметные расчеты</w:t>
      </w:r>
      <w:r>
        <w:rPr>
          <w:rFonts w:cs="Times New Roman"/>
          <w:bCs/>
          <w:sz w:val="24"/>
          <w:szCs w:val="24"/>
        </w:rPr>
        <w:t xml:space="preserve"> (19 файлов)</w:t>
      </w:r>
      <w:r>
        <w:rPr>
          <w:rFonts w:cs="Times New Roman"/>
          <w:bCs/>
          <w:sz w:val="24"/>
          <w:szCs w:val="24"/>
          <w:lang w:val="en-US"/>
        </w:rPr>
        <w:t>.</w:t>
      </w:r>
      <w:bookmarkStart w:id="0" w:name="_GoBack"/>
      <w:bookmarkEnd w:id="0"/>
    </w:p>
    <w:sectPr w:rsidR="00530FDE" w:rsidRPr="00530FDE" w:rsidSect="00794B11">
      <w:footerReference w:type="default" r:id="rId12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BA" w:rsidRDefault="00C83DBA" w:rsidP="0061178C">
      <w:r>
        <w:separator/>
      </w:r>
    </w:p>
  </w:endnote>
  <w:endnote w:type="continuationSeparator" w:id="0">
    <w:p w:rsidR="00C83DBA" w:rsidRDefault="00C83DBA" w:rsidP="006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53"/>
      <w:gridCol w:w="4955"/>
      <w:gridCol w:w="1939"/>
    </w:tblGrid>
    <w:tr w:rsidR="00F57B0C" w:rsidRPr="00B46991" w:rsidTr="00F57B0C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F57B0C" w:rsidRPr="00DB192F" w:rsidRDefault="00F57B0C" w:rsidP="00F57B0C">
          <w:pPr>
            <w:pStyle w:val="ab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F57B0C" w:rsidRPr="002A7A7B" w:rsidRDefault="00F57B0C" w:rsidP="00F57B0C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F57B0C" w:rsidRPr="00DB192F" w:rsidRDefault="00F57B0C" w:rsidP="00F57B0C">
          <w:pPr>
            <w:pStyle w:val="ab"/>
            <w:jc w:val="center"/>
            <w:rPr>
              <w:color w:val="0000FF"/>
              <w:sz w:val="20"/>
            </w:rPr>
          </w:pPr>
        </w:p>
      </w:tc>
    </w:tr>
    <w:tr w:rsidR="00F57B0C" w:rsidRPr="00B46991" w:rsidTr="00F57B0C">
      <w:tc>
        <w:tcPr>
          <w:tcW w:w="8472" w:type="dxa"/>
          <w:gridSpan w:val="2"/>
          <w:shd w:val="clear" w:color="auto" w:fill="auto"/>
          <w:vAlign w:val="center"/>
        </w:tcPr>
        <w:p w:rsidR="00F57B0C" w:rsidRPr="002A7A7B" w:rsidRDefault="00F57B0C" w:rsidP="00F57B0C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F57B0C" w:rsidRPr="002A7A7B" w:rsidRDefault="00F57B0C" w:rsidP="00F57B0C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F57B0C" w:rsidRPr="002A7A7B" w:rsidRDefault="00F57B0C" w:rsidP="00F57B0C">
          <w:pPr>
            <w:pStyle w:val="ab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F57B0C" w:rsidRPr="00DB192F" w:rsidRDefault="00F57B0C" w:rsidP="00F57B0C">
          <w:pPr>
            <w:pStyle w:val="ab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530FDE">
            <w:rPr>
              <w:rFonts w:ascii="Monotype Corsiva" w:hAnsi="Monotype Corsiva"/>
              <w:bCs/>
              <w:noProof/>
              <w:color w:val="0000FF"/>
              <w:sz w:val="16"/>
            </w:rPr>
            <w:t>11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530FDE">
            <w:rPr>
              <w:rFonts w:ascii="Monotype Corsiva" w:hAnsi="Monotype Corsiva"/>
              <w:bCs/>
              <w:noProof/>
              <w:color w:val="0000FF"/>
              <w:sz w:val="16"/>
            </w:rPr>
            <w:t>11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F57B0C" w:rsidRDefault="00F57B0C" w:rsidP="00F57B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BA" w:rsidRDefault="00C83DBA" w:rsidP="0061178C">
      <w:r>
        <w:separator/>
      </w:r>
    </w:p>
  </w:footnote>
  <w:footnote w:type="continuationSeparator" w:id="0">
    <w:p w:rsidR="00C83DBA" w:rsidRDefault="00C83DBA" w:rsidP="006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095"/>
    <w:multiLevelType w:val="hybridMultilevel"/>
    <w:tmpl w:val="F58809D2"/>
    <w:lvl w:ilvl="0" w:tplc="21006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53A7"/>
    <w:multiLevelType w:val="hybridMultilevel"/>
    <w:tmpl w:val="E68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696F"/>
    <w:multiLevelType w:val="hybridMultilevel"/>
    <w:tmpl w:val="A680FE82"/>
    <w:lvl w:ilvl="0" w:tplc="34B2FF8A">
      <w:start w:val="1"/>
      <w:numFmt w:val="bullet"/>
      <w:pStyle w:val="20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 w15:restartNumberingAfterBreak="0">
    <w:nsid w:val="2EF40A94"/>
    <w:multiLevelType w:val="hybridMultilevel"/>
    <w:tmpl w:val="01A44D68"/>
    <w:lvl w:ilvl="0" w:tplc="15500440">
      <w:start w:val="1"/>
      <w:numFmt w:val="bullet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D75F1"/>
    <w:multiLevelType w:val="multilevel"/>
    <w:tmpl w:val="C6F07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0713F"/>
    <w:multiLevelType w:val="hybridMultilevel"/>
    <w:tmpl w:val="E7123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D5F5D"/>
    <w:multiLevelType w:val="hybridMultilevel"/>
    <w:tmpl w:val="BC64D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83BAD"/>
    <w:multiLevelType w:val="hybridMultilevel"/>
    <w:tmpl w:val="5574DDDE"/>
    <w:lvl w:ilvl="0" w:tplc="FFFFFFFF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50D2"/>
    <w:multiLevelType w:val="hybridMultilevel"/>
    <w:tmpl w:val="6A9C4474"/>
    <w:lvl w:ilvl="0" w:tplc="2FF8A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1"/>
    <w:rsid w:val="000276E9"/>
    <w:rsid w:val="000337DA"/>
    <w:rsid w:val="00035594"/>
    <w:rsid w:val="00036429"/>
    <w:rsid w:val="00090183"/>
    <w:rsid w:val="000A31C3"/>
    <w:rsid w:val="000D40B1"/>
    <w:rsid w:val="000D59C0"/>
    <w:rsid w:val="000E2116"/>
    <w:rsid w:val="000F4F36"/>
    <w:rsid w:val="00120174"/>
    <w:rsid w:val="00125B99"/>
    <w:rsid w:val="00146C98"/>
    <w:rsid w:val="001651A4"/>
    <w:rsid w:val="00170588"/>
    <w:rsid w:val="0019108A"/>
    <w:rsid w:val="001A0EF2"/>
    <w:rsid w:val="001B2F54"/>
    <w:rsid w:val="001B4EF6"/>
    <w:rsid w:val="001B68A2"/>
    <w:rsid w:val="001C25DF"/>
    <w:rsid w:val="001D297F"/>
    <w:rsid w:val="00202176"/>
    <w:rsid w:val="002062ED"/>
    <w:rsid w:val="002378D7"/>
    <w:rsid w:val="00251181"/>
    <w:rsid w:val="00273A29"/>
    <w:rsid w:val="00277227"/>
    <w:rsid w:val="002826D6"/>
    <w:rsid w:val="00284CCB"/>
    <w:rsid w:val="00292C93"/>
    <w:rsid w:val="002930ED"/>
    <w:rsid w:val="002A517C"/>
    <w:rsid w:val="002C1BAF"/>
    <w:rsid w:val="002D5DDD"/>
    <w:rsid w:val="002E3207"/>
    <w:rsid w:val="0031035B"/>
    <w:rsid w:val="00311AE5"/>
    <w:rsid w:val="00314489"/>
    <w:rsid w:val="00325147"/>
    <w:rsid w:val="00361B36"/>
    <w:rsid w:val="00374E5A"/>
    <w:rsid w:val="003923AE"/>
    <w:rsid w:val="003A2454"/>
    <w:rsid w:val="003A2D04"/>
    <w:rsid w:val="003A5A2E"/>
    <w:rsid w:val="003A6672"/>
    <w:rsid w:val="003A7FEF"/>
    <w:rsid w:val="00412AA7"/>
    <w:rsid w:val="0041321F"/>
    <w:rsid w:val="0042751C"/>
    <w:rsid w:val="00485FA7"/>
    <w:rsid w:val="0049054C"/>
    <w:rsid w:val="00496DD4"/>
    <w:rsid w:val="004A05ED"/>
    <w:rsid w:val="004B75C4"/>
    <w:rsid w:val="004C7C56"/>
    <w:rsid w:val="004D5321"/>
    <w:rsid w:val="00506661"/>
    <w:rsid w:val="00530FDE"/>
    <w:rsid w:val="00566F77"/>
    <w:rsid w:val="00577700"/>
    <w:rsid w:val="0058538D"/>
    <w:rsid w:val="005919BC"/>
    <w:rsid w:val="005A6B68"/>
    <w:rsid w:val="005E645C"/>
    <w:rsid w:val="005E64DA"/>
    <w:rsid w:val="005E7128"/>
    <w:rsid w:val="005F66C4"/>
    <w:rsid w:val="0061178C"/>
    <w:rsid w:val="006141AD"/>
    <w:rsid w:val="00653203"/>
    <w:rsid w:val="00671287"/>
    <w:rsid w:val="0067198B"/>
    <w:rsid w:val="006819FD"/>
    <w:rsid w:val="00693D0C"/>
    <w:rsid w:val="006C2CBE"/>
    <w:rsid w:val="00700B4C"/>
    <w:rsid w:val="007039F7"/>
    <w:rsid w:val="00722901"/>
    <w:rsid w:val="007547CE"/>
    <w:rsid w:val="00761A1B"/>
    <w:rsid w:val="00763E5E"/>
    <w:rsid w:val="0076749D"/>
    <w:rsid w:val="00794B11"/>
    <w:rsid w:val="007958E3"/>
    <w:rsid w:val="007A5002"/>
    <w:rsid w:val="007A55E6"/>
    <w:rsid w:val="007C0551"/>
    <w:rsid w:val="007C4A0D"/>
    <w:rsid w:val="007D0118"/>
    <w:rsid w:val="007F5A81"/>
    <w:rsid w:val="0080094B"/>
    <w:rsid w:val="00803DD4"/>
    <w:rsid w:val="00811E05"/>
    <w:rsid w:val="0081260A"/>
    <w:rsid w:val="008321F9"/>
    <w:rsid w:val="00841FB3"/>
    <w:rsid w:val="0084668C"/>
    <w:rsid w:val="00847AB3"/>
    <w:rsid w:val="0085712B"/>
    <w:rsid w:val="008642E5"/>
    <w:rsid w:val="00883023"/>
    <w:rsid w:val="008871C2"/>
    <w:rsid w:val="00891FCB"/>
    <w:rsid w:val="008A2AEE"/>
    <w:rsid w:val="008A52D2"/>
    <w:rsid w:val="008B2A23"/>
    <w:rsid w:val="008D4AFD"/>
    <w:rsid w:val="0090219C"/>
    <w:rsid w:val="00902282"/>
    <w:rsid w:val="009132BB"/>
    <w:rsid w:val="00921211"/>
    <w:rsid w:val="00937343"/>
    <w:rsid w:val="0097444F"/>
    <w:rsid w:val="00982755"/>
    <w:rsid w:val="009879C0"/>
    <w:rsid w:val="00990AE9"/>
    <w:rsid w:val="00990BB2"/>
    <w:rsid w:val="00997274"/>
    <w:rsid w:val="009B48AE"/>
    <w:rsid w:val="009B4E11"/>
    <w:rsid w:val="009B60B3"/>
    <w:rsid w:val="009C46C4"/>
    <w:rsid w:val="009D2A06"/>
    <w:rsid w:val="00A04F26"/>
    <w:rsid w:val="00A10EFD"/>
    <w:rsid w:val="00A20D03"/>
    <w:rsid w:val="00A35557"/>
    <w:rsid w:val="00A4142D"/>
    <w:rsid w:val="00A643E3"/>
    <w:rsid w:val="00A9662A"/>
    <w:rsid w:val="00AB1CF9"/>
    <w:rsid w:val="00AE1159"/>
    <w:rsid w:val="00B40A66"/>
    <w:rsid w:val="00B934EF"/>
    <w:rsid w:val="00BB5DBB"/>
    <w:rsid w:val="00BC30DA"/>
    <w:rsid w:val="00BC3567"/>
    <w:rsid w:val="00BC5DF5"/>
    <w:rsid w:val="00BD2818"/>
    <w:rsid w:val="00BE7A56"/>
    <w:rsid w:val="00C035D7"/>
    <w:rsid w:val="00C102F9"/>
    <w:rsid w:val="00C32118"/>
    <w:rsid w:val="00C35300"/>
    <w:rsid w:val="00C459A1"/>
    <w:rsid w:val="00C46582"/>
    <w:rsid w:val="00C558D5"/>
    <w:rsid w:val="00C61FC5"/>
    <w:rsid w:val="00C83DBA"/>
    <w:rsid w:val="00C86C48"/>
    <w:rsid w:val="00C95C1A"/>
    <w:rsid w:val="00CA37C3"/>
    <w:rsid w:val="00CE6BB1"/>
    <w:rsid w:val="00D179FC"/>
    <w:rsid w:val="00D24EEF"/>
    <w:rsid w:val="00D26DEB"/>
    <w:rsid w:val="00D3473B"/>
    <w:rsid w:val="00D42E71"/>
    <w:rsid w:val="00D717AF"/>
    <w:rsid w:val="00D82A6F"/>
    <w:rsid w:val="00D86929"/>
    <w:rsid w:val="00DB03E6"/>
    <w:rsid w:val="00DB4D92"/>
    <w:rsid w:val="00DC12F5"/>
    <w:rsid w:val="00DC1363"/>
    <w:rsid w:val="00DD0D4C"/>
    <w:rsid w:val="00DF4795"/>
    <w:rsid w:val="00E14443"/>
    <w:rsid w:val="00E1592B"/>
    <w:rsid w:val="00E17BFD"/>
    <w:rsid w:val="00E249CD"/>
    <w:rsid w:val="00E3016A"/>
    <w:rsid w:val="00E447C4"/>
    <w:rsid w:val="00E56798"/>
    <w:rsid w:val="00E86293"/>
    <w:rsid w:val="00EA43BE"/>
    <w:rsid w:val="00EE0A08"/>
    <w:rsid w:val="00EE0C8D"/>
    <w:rsid w:val="00EF4C9D"/>
    <w:rsid w:val="00EF6AD3"/>
    <w:rsid w:val="00F054EF"/>
    <w:rsid w:val="00F21512"/>
    <w:rsid w:val="00F22EE7"/>
    <w:rsid w:val="00F32C3E"/>
    <w:rsid w:val="00F47053"/>
    <w:rsid w:val="00F57B0C"/>
    <w:rsid w:val="00F635AD"/>
    <w:rsid w:val="00F767CB"/>
    <w:rsid w:val="00F768E6"/>
    <w:rsid w:val="00F818A9"/>
    <w:rsid w:val="00FB4A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649CB4"/>
  <w15:chartTrackingRefBased/>
  <w15:docId w15:val="{2A2E5BD1-0CF7-4197-BFA6-EEDAAE2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251181"/>
    <w:pPr>
      <w:keepNext/>
      <w:keepLines/>
      <w:widowControl w:val="0"/>
      <w:numPr>
        <w:numId w:val="1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1"/>
    <w:qFormat/>
    <w:rsid w:val="00251181"/>
    <w:pPr>
      <w:widowControl w:val="0"/>
      <w:numPr>
        <w:ilvl w:val="1"/>
        <w:numId w:val="1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link w:val="31"/>
    <w:qFormat/>
    <w:rsid w:val="00251181"/>
    <w:pPr>
      <w:widowControl w:val="0"/>
      <w:numPr>
        <w:ilvl w:val="2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251181"/>
    <w:pPr>
      <w:widowControl w:val="0"/>
      <w:numPr>
        <w:ilvl w:val="4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51181"/>
    <w:pPr>
      <w:widowControl w:val="0"/>
      <w:numPr>
        <w:ilvl w:val="5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251181"/>
    <w:pPr>
      <w:widowControl w:val="0"/>
      <w:numPr>
        <w:ilvl w:val="6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251181"/>
    <w:pPr>
      <w:widowControl w:val="0"/>
      <w:numPr>
        <w:ilvl w:val="7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251181"/>
    <w:pPr>
      <w:widowControl w:val="0"/>
      <w:numPr>
        <w:ilvl w:val="8"/>
        <w:numId w:val="1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rsid w:val="00794B1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paragraph" w:styleId="a3">
    <w:name w:val="List Paragraph"/>
    <w:aliases w:val="Текст 2-й уровень,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"/>
    <w:basedOn w:val="a"/>
    <w:link w:val="a4"/>
    <w:uiPriority w:val="99"/>
    <w:qFormat/>
    <w:rsid w:val="00794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uiPriority w:val="99"/>
    <w:rsid w:val="00794B1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794B11"/>
    <w:pPr>
      <w:spacing w:after="0" w:line="240" w:lineRule="auto"/>
    </w:pPr>
  </w:style>
  <w:style w:type="paragraph" w:styleId="a7">
    <w:name w:val="Body Text"/>
    <w:link w:val="a8"/>
    <w:rsid w:val="00794B1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100" w:lineRule="atLeast"/>
      <w:jc w:val="both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val="en-US" w:eastAsia="en-GB"/>
    </w:rPr>
  </w:style>
  <w:style w:type="character" w:customStyle="1" w:styleId="a8">
    <w:name w:val="Основной текст Знак"/>
    <w:basedOn w:val="a0"/>
    <w:link w:val="a7"/>
    <w:rsid w:val="00794B11"/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shd w:val="clear" w:color="auto" w:fill="FFFFFF"/>
      <w:lang w:val="en-US" w:eastAsia="en-GB"/>
    </w:rPr>
  </w:style>
  <w:style w:type="character" w:customStyle="1" w:styleId="a4">
    <w:name w:val="Абзац списка Знак"/>
    <w:aliases w:val="Текст 2-й уровень Знак,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"/>
    <w:link w:val="a3"/>
    <w:uiPriority w:val="99"/>
    <w:qFormat/>
    <w:locked/>
    <w:rsid w:val="00794B11"/>
  </w:style>
  <w:style w:type="character" w:customStyle="1" w:styleId="a6">
    <w:name w:val="Без интервала Знак"/>
    <w:basedOn w:val="a0"/>
    <w:link w:val="a5"/>
    <w:uiPriority w:val="1"/>
    <w:rsid w:val="00794B11"/>
  </w:style>
  <w:style w:type="paragraph" w:customStyle="1" w:styleId="Body">
    <w:name w:val="Body"/>
    <w:rsid w:val="00794B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22">
    <w:name w:val="Body Text Indent 2"/>
    <w:basedOn w:val="a"/>
    <w:link w:val="23"/>
    <w:unhideWhenUsed/>
    <w:rsid w:val="000364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36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17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17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D179FC"/>
    <w:rPr>
      <w:color w:val="0000FF"/>
      <w:u w:val="single"/>
    </w:rPr>
  </w:style>
  <w:style w:type="paragraph" w:styleId="20">
    <w:name w:val="List 2"/>
    <w:basedOn w:val="a"/>
    <w:rsid w:val="00146C9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character" w:customStyle="1" w:styleId="10">
    <w:name w:val="Заголовок 1 Знак"/>
    <w:basedOn w:val="a0"/>
    <w:link w:val="1"/>
    <w:rsid w:val="00251181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"/>
    <w:rsid w:val="002511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1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Текст 3"/>
    <w:basedOn w:val="4"/>
    <w:rsid w:val="00251181"/>
    <w:pPr>
      <w:keepNext w:val="0"/>
      <w:keepLines w:val="0"/>
      <w:widowControl w:val="0"/>
      <w:numPr>
        <w:ilvl w:val="3"/>
        <w:numId w:val="13"/>
      </w:numPr>
      <w:tabs>
        <w:tab w:val="clear" w:pos="2101"/>
      </w:tabs>
      <w:overflowPunct w:val="0"/>
      <w:autoSpaceDE w:val="0"/>
      <w:autoSpaceDN w:val="0"/>
      <w:adjustRightInd w:val="0"/>
      <w:spacing w:before="60"/>
      <w:ind w:left="2880" w:hanging="360"/>
      <w:jc w:val="both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5118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B374D.B62B6BB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B374D.B62B6B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500F-E0CD-4527-B3C4-0CAD593B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Матвей Степанович \ Matvei Karpenko</dc:creator>
  <cp:keywords/>
  <dc:description/>
  <cp:lastModifiedBy>Трифонов Илья Вячеславович \ Ilia Trifonov</cp:lastModifiedBy>
  <cp:revision>7</cp:revision>
  <dcterms:created xsi:type="dcterms:W3CDTF">2024-12-05T10:24:00Z</dcterms:created>
  <dcterms:modified xsi:type="dcterms:W3CDTF">2024-12-09T07:36:00Z</dcterms:modified>
</cp:coreProperties>
</file>