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8275B" w:rsidRPr="0058275B" w:rsidRDefault="00CD6302" w:rsidP="0058275B">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8275B" w:rsidRPr="0058275B">
        <w:rPr>
          <w:rFonts w:ascii="Times New Roman" w:hAnsi="Times New Roman"/>
          <w:b/>
          <w:sz w:val="28"/>
          <w:szCs w:val="28"/>
        </w:rPr>
        <w:t>МАТЕРИАЛОВ ДЛЯ ПОДКЛЮЧЕНИЯ</w:t>
      </w:r>
      <w:r w:rsidR="0058275B">
        <w:rPr>
          <w:rFonts w:ascii="Times New Roman" w:hAnsi="Times New Roman"/>
          <w:b/>
          <w:sz w:val="28"/>
          <w:szCs w:val="28"/>
        </w:rPr>
        <w:t xml:space="preserve"> </w:t>
      </w:r>
      <w:r w:rsidR="0058275B" w:rsidRPr="0058275B">
        <w:rPr>
          <w:rFonts w:ascii="Times New Roman" w:hAnsi="Times New Roman"/>
          <w:b/>
          <w:sz w:val="28"/>
          <w:szCs w:val="28"/>
        </w:rPr>
        <w:t xml:space="preserve">СВАРОЧНЫХ АППАРАТОВ И ЭЛЕКТРОИНСТРУМЕНТА В БКЦ-1, БКЦ-2 И ДОКОВОМ </w:t>
      </w:r>
      <w:proofErr w:type="gramStart"/>
      <w:r w:rsidR="0058275B" w:rsidRPr="0058275B">
        <w:rPr>
          <w:rFonts w:ascii="Times New Roman" w:hAnsi="Times New Roman"/>
          <w:b/>
          <w:sz w:val="28"/>
          <w:szCs w:val="28"/>
        </w:rPr>
        <w:t>КОМПЛЕКСЕ</w:t>
      </w:r>
      <w:proofErr w:type="gramEnd"/>
      <w:r w:rsidR="0058275B" w:rsidRPr="0058275B">
        <w:rPr>
          <w:rFonts w:ascii="Times New Roman" w:hAnsi="Times New Roman"/>
          <w:b/>
          <w:sz w:val="28"/>
          <w:szCs w:val="28"/>
        </w:rPr>
        <w:t xml:space="preserve"> К ЭЛЕКТРОСНАБЖЕНИЮ</w:t>
      </w:r>
    </w:p>
    <w:p w:rsidR="005C4CBB" w:rsidRPr="003C1C9A" w:rsidRDefault="005C4CBB" w:rsidP="0058275B">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8275B" w:rsidRDefault="0058275B"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58275B" w:rsidRPr="0058275B">
        <w:rPr>
          <w:rFonts w:ascii="Times New Roman" w:hAnsi="Times New Roman" w:cs="Times New Roman"/>
          <w:sz w:val="24"/>
          <w:szCs w:val="24"/>
        </w:rPr>
        <w:t>материалов для подключения сварочных аппаратов и электроинструмента в БКЦ-1, БКЦ-2 и доковом комплексе к электроснабжению</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8275B" w:rsidRPr="0058275B">
        <w:rPr>
          <w:rFonts w:eastAsia="Courier New"/>
          <w:color w:val="000000"/>
          <w:spacing w:val="-4"/>
          <w:sz w:val="24"/>
          <w:szCs w:val="24"/>
        </w:rPr>
        <w:t>35 календарных дней с момента оплаты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58275B" w:rsidRPr="0058275B">
        <w:rPr>
          <w:sz w:val="24"/>
          <w:szCs w:val="24"/>
        </w:rPr>
        <w:t>Товар поставляется до терминала транспортной компании «Деловые Линии» в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8275B">
        <w:rPr>
          <w:sz w:val="24"/>
          <w:szCs w:val="24"/>
        </w:rPr>
        <w:t xml:space="preserve">2 123 243,90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8275B">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58275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58275B">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5555F">
        <w:rPr>
          <w:rFonts w:ascii="Times New Roman" w:hAnsi="Times New Roman" w:cs="Times New Roman"/>
          <w:sz w:val="24"/>
          <w:szCs w:val="24"/>
          <w:u w:val="single"/>
        </w:rPr>
        <w:t>25</w:t>
      </w:r>
      <w:r w:rsidR="00CD6F1C">
        <w:rPr>
          <w:rFonts w:ascii="Times New Roman" w:hAnsi="Times New Roman" w:cs="Times New Roman"/>
          <w:sz w:val="24"/>
          <w:szCs w:val="24"/>
          <w:u w:val="single"/>
        </w:rPr>
        <w:t>.</w:t>
      </w:r>
      <w:r w:rsidR="0058275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8275B">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8275B">
              <w:rPr>
                <w:rFonts w:ascii="Times New Roman" w:hAnsi="Times New Roman" w:cs="Times New Roman"/>
                <w:sz w:val="24"/>
                <w:szCs w:val="24"/>
              </w:rPr>
              <w:t>14.04</w:t>
            </w:r>
            <w:r w:rsidR="00F654B1">
              <w:rPr>
                <w:rFonts w:ascii="Times New Roman" w:hAnsi="Times New Roman" w:cs="Times New Roman"/>
                <w:sz w:val="24"/>
                <w:szCs w:val="24"/>
              </w:rPr>
              <w:t>.2023</w:t>
            </w:r>
            <w:r w:rsidR="0058275B">
              <w:rPr>
                <w:rFonts w:ascii="Times New Roman" w:hAnsi="Times New Roman" w:cs="Times New Roman"/>
                <w:sz w:val="24"/>
                <w:szCs w:val="24"/>
              </w:rPr>
              <w:t xml:space="preserve"> 11</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45555F">
              <w:rPr>
                <w:rFonts w:ascii="Times New Roman" w:hAnsi="Times New Roman" w:cs="Times New Roman"/>
                <w:sz w:val="24"/>
                <w:szCs w:val="24"/>
              </w:rPr>
              <w:t>25</w:t>
            </w:r>
            <w:r w:rsidR="0058275B">
              <w:rPr>
                <w:rFonts w:ascii="Times New Roman" w:hAnsi="Times New Roman" w:cs="Times New Roman"/>
                <w:sz w:val="24"/>
                <w:szCs w:val="24"/>
              </w:rPr>
              <w:t>.04</w:t>
            </w:r>
            <w:r w:rsidR="00F654B1">
              <w:rPr>
                <w:rFonts w:ascii="Times New Roman" w:hAnsi="Times New Roman" w:cs="Times New Roman"/>
                <w:sz w:val="24"/>
                <w:szCs w:val="24"/>
              </w:rPr>
              <w:t>.2023</w:t>
            </w:r>
            <w:r w:rsidR="0058275B">
              <w:rPr>
                <w:rFonts w:ascii="Times New Roman" w:hAnsi="Times New Roman" w:cs="Times New Roman"/>
                <w:sz w:val="24"/>
                <w:szCs w:val="24"/>
              </w:rPr>
              <w:t xml:space="preserve">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5555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5555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8275B">
        <w:rPr>
          <w:rFonts w:ascii="Times New Roman" w:hAnsi="Times New Roman" w:cs="Times New Roman"/>
          <w:sz w:val="24"/>
          <w:szCs w:val="24"/>
        </w:rPr>
        <w:t>11</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58275B">
        <w:rPr>
          <w:rFonts w:ascii="Times New Roman" w:hAnsi="Times New Roman" w:cs="Times New Roman"/>
          <w:sz w:val="24"/>
          <w:szCs w:val="24"/>
          <w:u w:val="single"/>
        </w:rPr>
        <w:t>14.04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8275B">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5555F">
        <w:rPr>
          <w:rFonts w:ascii="Times New Roman" w:hAnsi="Times New Roman" w:cs="Times New Roman"/>
          <w:sz w:val="24"/>
          <w:szCs w:val="24"/>
          <w:u w:val="single"/>
        </w:rPr>
        <w:t>24</w:t>
      </w:r>
      <w:r w:rsidR="0058275B">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5555F">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58275B">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8275B">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8275B">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58275B">
        <w:rPr>
          <w:rFonts w:ascii="Times New Roman" w:eastAsia="DejaVu Sans" w:hAnsi="Times New Roman" w:cs="Times New Roman"/>
          <w:sz w:val="24"/>
          <w:szCs w:val="24"/>
        </w:rPr>
        <w:t>двадцать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58275B">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58275B" w:rsidRDefault="00EA6E42" w:rsidP="005827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58275B" w:rsidRDefault="0058275B" w:rsidP="0058275B">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w:t>
      </w:r>
      <w:r w:rsidRPr="00E3675B">
        <w:rPr>
          <w:rFonts w:ascii="Times New Roman" w:hAnsi="Times New Roman"/>
          <w:b/>
          <w:sz w:val="20"/>
          <w:szCs w:val="20"/>
        </w:rPr>
        <w:t>материало</w:t>
      </w:r>
      <w:r>
        <w:rPr>
          <w:rFonts w:ascii="Times New Roman" w:hAnsi="Times New Roman"/>
          <w:b/>
          <w:sz w:val="20"/>
          <w:szCs w:val="20"/>
        </w:rPr>
        <w:t>в</w:t>
      </w:r>
      <w:r w:rsidRPr="00E3675B">
        <w:rPr>
          <w:rFonts w:ascii="Times New Roman" w:hAnsi="Times New Roman"/>
          <w:b/>
          <w:sz w:val="20"/>
          <w:szCs w:val="20"/>
        </w:rPr>
        <w:t xml:space="preserve"> для подключения</w:t>
      </w:r>
    </w:p>
    <w:p w:rsidR="0058275B" w:rsidRDefault="0058275B" w:rsidP="0058275B">
      <w:pPr>
        <w:spacing w:after="0" w:line="240" w:lineRule="auto"/>
        <w:jc w:val="center"/>
        <w:rPr>
          <w:rFonts w:ascii="Times New Roman" w:hAnsi="Times New Roman"/>
          <w:b/>
          <w:sz w:val="20"/>
          <w:szCs w:val="20"/>
        </w:rPr>
      </w:pPr>
      <w:r>
        <w:rPr>
          <w:rFonts w:ascii="Times New Roman" w:hAnsi="Times New Roman"/>
          <w:b/>
          <w:sz w:val="20"/>
          <w:szCs w:val="20"/>
        </w:rPr>
        <w:t xml:space="preserve"> сварочных аппаратов и электро</w:t>
      </w:r>
      <w:r w:rsidRPr="00E3675B">
        <w:rPr>
          <w:rFonts w:ascii="Times New Roman" w:hAnsi="Times New Roman"/>
          <w:b/>
          <w:sz w:val="20"/>
          <w:szCs w:val="20"/>
        </w:rPr>
        <w:t xml:space="preserve">инструмента в БКЦ-1, БКЦ-2 </w:t>
      </w:r>
    </w:p>
    <w:p w:rsidR="0058275B" w:rsidRDefault="0058275B" w:rsidP="0058275B">
      <w:pPr>
        <w:spacing w:after="0" w:line="240" w:lineRule="auto"/>
        <w:jc w:val="center"/>
        <w:rPr>
          <w:rFonts w:ascii="Times New Roman" w:hAnsi="Times New Roman"/>
          <w:b/>
          <w:sz w:val="20"/>
          <w:szCs w:val="20"/>
        </w:rPr>
      </w:pPr>
      <w:r w:rsidRPr="00E3675B">
        <w:rPr>
          <w:rFonts w:ascii="Times New Roman" w:hAnsi="Times New Roman"/>
          <w:b/>
          <w:sz w:val="20"/>
          <w:szCs w:val="20"/>
        </w:rPr>
        <w:t xml:space="preserve">и доковом </w:t>
      </w:r>
      <w:proofErr w:type="gramStart"/>
      <w:r w:rsidRPr="00E3675B">
        <w:rPr>
          <w:rFonts w:ascii="Times New Roman" w:hAnsi="Times New Roman"/>
          <w:b/>
          <w:sz w:val="20"/>
          <w:szCs w:val="20"/>
        </w:rPr>
        <w:t>комплексе</w:t>
      </w:r>
      <w:proofErr w:type="gramEnd"/>
      <w:r w:rsidRPr="00E3675B">
        <w:rPr>
          <w:rFonts w:ascii="Times New Roman" w:hAnsi="Times New Roman"/>
          <w:b/>
          <w:sz w:val="20"/>
          <w:szCs w:val="20"/>
        </w:rPr>
        <w:t xml:space="preserve"> к электроснабжению</w:t>
      </w:r>
    </w:p>
    <w:p w:rsidR="0058275B" w:rsidRPr="00535CD8" w:rsidRDefault="0058275B" w:rsidP="0058275B">
      <w:pPr>
        <w:spacing w:after="0" w:line="240" w:lineRule="auto"/>
        <w:jc w:val="center"/>
        <w:rPr>
          <w:rFonts w:ascii="Times New Roman" w:hAnsi="Times New Roman"/>
          <w:b/>
          <w:sz w:val="20"/>
          <w:szCs w:val="20"/>
        </w:rPr>
      </w:pPr>
    </w:p>
    <w:p w:rsidR="0058275B" w:rsidRPr="00535CD8" w:rsidRDefault="0058275B" w:rsidP="0058275B">
      <w:pPr>
        <w:pStyle w:val="af5"/>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58275B" w:rsidRDefault="0058275B" w:rsidP="0058275B">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proofErr w:type="gramStart"/>
      <w:r w:rsidRPr="00535CD8">
        <w:rPr>
          <w:rFonts w:ascii="Times New Roman" w:hAnsi="Times New Roman"/>
          <w:sz w:val="20"/>
          <w:szCs w:val="20"/>
        </w:rPr>
        <w:t xml:space="preserve">Предметом настоящего технического задания является поставка </w:t>
      </w:r>
      <w:r w:rsidRPr="00E3675B">
        <w:rPr>
          <w:rFonts w:ascii="Times New Roman" w:hAnsi="Times New Roman"/>
          <w:sz w:val="20"/>
          <w:szCs w:val="20"/>
        </w:rPr>
        <w:t>материалов для подключения</w:t>
      </w:r>
      <w:r>
        <w:rPr>
          <w:rFonts w:ascii="Times New Roman" w:hAnsi="Times New Roman"/>
          <w:sz w:val="20"/>
          <w:szCs w:val="20"/>
        </w:rPr>
        <w:t xml:space="preserve"> </w:t>
      </w:r>
      <w:r w:rsidRPr="00E3675B">
        <w:rPr>
          <w:rFonts w:ascii="Times New Roman" w:hAnsi="Times New Roman"/>
          <w:sz w:val="20"/>
          <w:szCs w:val="20"/>
        </w:rPr>
        <w:t>сварочных аппаратов и электроинструмента в БКЦ-1, БКЦ-2 и доковом комплексе к электроснабжению</w:t>
      </w:r>
      <w:r>
        <w:rPr>
          <w:rFonts w:ascii="Times New Roman" w:hAnsi="Times New Roman"/>
          <w:sz w:val="20"/>
          <w:szCs w:val="20"/>
        </w:rPr>
        <w:t xml:space="preserve"> для собственных нужд</w:t>
      </w:r>
      <w:r w:rsidRPr="00BB2660">
        <w:rPr>
          <w:rFonts w:ascii="Times New Roman" w:hAnsi="Times New Roman"/>
          <w:sz w:val="20"/>
          <w:szCs w:val="20"/>
        </w:rPr>
        <w:t xml:space="preserve"> в рамках</w:t>
      </w:r>
      <w:r>
        <w:rPr>
          <w:rFonts w:ascii="Times New Roman" w:hAnsi="Times New Roman"/>
          <w:sz w:val="20"/>
          <w:szCs w:val="20"/>
        </w:rPr>
        <w:t xml:space="preserve"> </w:t>
      </w:r>
      <w:r w:rsidRPr="00BB2660">
        <w:rPr>
          <w:rFonts w:ascii="Times New Roman" w:hAnsi="Times New Roman"/>
          <w:sz w:val="20"/>
          <w:szCs w:val="20"/>
        </w:rPr>
        <w:t>подготовки производства к  строительству заказа морского транспорта вооружения  проекта 23900</w:t>
      </w:r>
      <w:r>
        <w:rPr>
          <w:rFonts w:ascii="Times New Roman" w:hAnsi="Times New Roman"/>
          <w:sz w:val="20"/>
          <w:szCs w:val="20"/>
        </w:rPr>
        <w:t>, в</w:t>
      </w:r>
      <w:r w:rsidRPr="00F502FD">
        <w:rPr>
          <w:rFonts w:ascii="Times New Roman" w:hAnsi="Times New Roman"/>
          <w:sz w:val="20"/>
          <w:szCs w:val="20"/>
        </w:rPr>
        <w:t xml:space="preserve">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w:t>
      </w:r>
      <w:proofErr w:type="gramEnd"/>
      <w:r w:rsidRPr="00F502FD">
        <w:rPr>
          <w:rFonts w:ascii="Times New Roman" w:hAnsi="Times New Roman"/>
          <w:sz w:val="20"/>
          <w:szCs w:val="20"/>
        </w:rPr>
        <w:t xml:space="preserve">. (присвоен ИГК 2028187301931452209002843), </w:t>
      </w:r>
    </w:p>
    <w:p w:rsidR="0058275B" w:rsidRDefault="0058275B" w:rsidP="0058275B">
      <w:pPr>
        <w:spacing w:after="0" w:line="240" w:lineRule="auto"/>
        <w:jc w:val="both"/>
        <w:rPr>
          <w:rFonts w:ascii="Times New Roman" w:hAnsi="Times New Roman"/>
          <w:sz w:val="20"/>
          <w:szCs w:val="20"/>
        </w:rPr>
      </w:pPr>
      <w:r>
        <w:rPr>
          <w:rFonts w:ascii="Times New Roman" w:hAnsi="Times New Roman"/>
          <w:sz w:val="20"/>
          <w:szCs w:val="20"/>
        </w:rPr>
        <w:t>1.2.</w:t>
      </w:r>
      <w:r w:rsidRPr="00613773">
        <w:rPr>
          <w:rFonts w:ascii="Times New Roman" w:hAnsi="Times New Roman"/>
          <w:sz w:val="20"/>
          <w:szCs w:val="20"/>
        </w:rPr>
        <w:t xml:space="preserve">Условия поставки товара: </w:t>
      </w:r>
      <w:r>
        <w:rPr>
          <w:rFonts w:ascii="Times New Roman" w:hAnsi="Times New Roman"/>
          <w:sz w:val="20"/>
          <w:szCs w:val="20"/>
        </w:rPr>
        <w:t>Товар поставляется до терминала транспортной компании «Деловые Линии» в г. Керчь.</w:t>
      </w:r>
    </w:p>
    <w:p w:rsidR="0058275B" w:rsidRPr="007A6D49" w:rsidRDefault="0058275B" w:rsidP="0058275B">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1.3.Срок поставки Товара: 35 календарных дней с момента оплаты аванса.</w:t>
      </w:r>
    </w:p>
    <w:p w:rsidR="0058275B" w:rsidRDefault="0058275B" w:rsidP="0058275B">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1.4. </w:t>
      </w:r>
      <w:r w:rsidRPr="00613773">
        <w:rPr>
          <w:rFonts w:ascii="Times New Roman"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cs="Calibri"/>
          <w:sz w:val="20"/>
          <w:szCs w:val="20"/>
          <w:lang w:eastAsia="ar-SA"/>
        </w:rPr>
        <w:t>м заверенные копии)</w:t>
      </w:r>
      <w:r w:rsidRPr="00613773">
        <w:rPr>
          <w:rFonts w:ascii="Times New Roman" w:hAnsi="Times New Roman" w:cs="Calibri"/>
          <w:sz w:val="20"/>
          <w:szCs w:val="20"/>
          <w:lang w:eastAsia="ar-SA"/>
        </w:rPr>
        <w:t>.</w:t>
      </w:r>
    </w:p>
    <w:p w:rsidR="0058275B" w:rsidRDefault="0058275B" w:rsidP="0058275B">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1.5. Товар должен быть не эксплуатируемым ранее и являться новым </w:t>
      </w:r>
    </w:p>
    <w:p w:rsidR="0058275B" w:rsidRPr="00613773" w:rsidRDefault="0058275B" w:rsidP="0058275B">
      <w:pPr>
        <w:pStyle w:val="af5"/>
        <w:spacing w:line="240" w:lineRule="auto"/>
        <w:ind w:left="0"/>
        <w:jc w:val="both"/>
        <w:rPr>
          <w:rFonts w:ascii="Times New Roman" w:hAnsi="Times New Roman" w:cs="Calibri"/>
          <w:sz w:val="20"/>
          <w:szCs w:val="20"/>
          <w:lang w:eastAsia="ar-SA"/>
        </w:rPr>
      </w:pPr>
      <w:r>
        <w:rPr>
          <w:rFonts w:ascii="Times New Roman" w:hAnsi="Times New Roman"/>
          <w:sz w:val="20"/>
          <w:szCs w:val="20"/>
          <w:lang w:eastAsia="ar-SA"/>
        </w:rPr>
        <w:t>1.6</w:t>
      </w:r>
      <w:r w:rsidRPr="0011521C">
        <w:rPr>
          <w:rFonts w:ascii="Times New Roman" w:hAnsi="Times New Roman"/>
          <w:sz w:val="20"/>
          <w:szCs w:val="20"/>
          <w:lang w:eastAsia="ar-SA"/>
        </w:rPr>
        <w:t>.  Перечень необходим</w:t>
      </w:r>
      <w:r>
        <w:rPr>
          <w:rFonts w:ascii="Times New Roman" w:hAnsi="Times New Roman"/>
          <w:sz w:val="20"/>
          <w:szCs w:val="20"/>
          <w:lang w:eastAsia="ar-SA"/>
        </w:rPr>
        <w:t>ых материалов</w:t>
      </w:r>
      <w:r w:rsidRPr="0011521C">
        <w:rPr>
          <w:rFonts w:ascii="Times New Roman" w:hAnsi="Times New Roman"/>
          <w:sz w:val="20"/>
          <w:szCs w:val="20"/>
          <w:lang w:eastAsia="ar-SA"/>
        </w:rPr>
        <w:t>:</w:t>
      </w:r>
    </w:p>
    <w:tbl>
      <w:tblPr>
        <w:tblW w:w="10613" w:type="dxa"/>
        <w:tblInd w:w="93" w:type="dxa"/>
        <w:tblLook w:val="04A0" w:firstRow="1" w:lastRow="0" w:firstColumn="1" w:lastColumn="0" w:noHBand="0" w:noVBand="1"/>
      </w:tblPr>
      <w:tblGrid>
        <w:gridCol w:w="474"/>
        <w:gridCol w:w="5211"/>
        <w:gridCol w:w="851"/>
        <w:gridCol w:w="992"/>
        <w:gridCol w:w="1276"/>
        <w:gridCol w:w="1809"/>
      </w:tblGrid>
      <w:tr w:rsidR="0058275B" w:rsidRPr="00E672BE" w:rsidTr="007A503A">
        <w:trPr>
          <w:trHeight w:val="44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 xml:space="preserve">№ </w:t>
            </w:r>
            <w:proofErr w:type="gramStart"/>
            <w:r w:rsidRPr="00E672BE">
              <w:rPr>
                <w:rFonts w:ascii="Times New Roman" w:eastAsia="Times New Roman" w:hAnsi="Times New Roman" w:cs="Times New Roman"/>
                <w:b/>
                <w:bCs/>
                <w:sz w:val="18"/>
                <w:szCs w:val="18"/>
                <w:lang w:eastAsia="ru-RU"/>
              </w:rPr>
              <w:t>п</w:t>
            </w:r>
            <w:proofErr w:type="gramEnd"/>
            <w:r w:rsidRPr="00E672BE">
              <w:rPr>
                <w:rFonts w:ascii="Times New Roman" w:eastAsia="Times New Roman" w:hAnsi="Times New Roman" w:cs="Times New Roman"/>
                <w:b/>
                <w:bCs/>
                <w:sz w:val="18"/>
                <w:szCs w:val="18"/>
                <w:lang w:eastAsia="ru-RU"/>
              </w:rPr>
              <w:t>/п</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 изм</w:t>
            </w:r>
            <w:r w:rsidRPr="00E672BE">
              <w:rPr>
                <w:rFonts w:ascii="Times New Roman" w:eastAsia="Times New Roman" w:hAnsi="Times New Roman" w:cs="Times New Roman"/>
                <w:b/>
                <w:bCs/>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Кол-во</w:t>
            </w:r>
            <w:r w:rsidRPr="00E672BE">
              <w:rPr>
                <w:rFonts w:ascii="Times New Roman" w:eastAsia="Times New Roman" w:hAnsi="Times New Roman" w:cs="Times New Roman"/>
                <w:b/>
                <w:bCs/>
                <w:sz w:val="18"/>
                <w:szCs w:val="18"/>
                <w:lang w:eastAsia="ru-RU"/>
              </w:rPr>
              <w:t>.</w:t>
            </w:r>
          </w:p>
        </w:tc>
        <w:tc>
          <w:tcPr>
            <w:tcW w:w="1276" w:type="dxa"/>
            <w:tcBorders>
              <w:top w:val="single" w:sz="4" w:space="0" w:color="auto"/>
              <w:left w:val="nil"/>
              <w:bottom w:val="single" w:sz="4" w:space="0" w:color="auto"/>
              <w:right w:val="single" w:sz="4" w:space="0" w:color="auto"/>
            </w:tcBorders>
            <w:vAlign w:val="center"/>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Цена с НДС за шт., руб.</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5B" w:rsidRPr="00E672BE" w:rsidRDefault="0058275B" w:rsidP="007A503A">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 xml:space="preserve">Сумма с НДС, руб. </w:t>
            </w:r>
          </w:p>
        </w:tc>
      </w:tr>
      <w:tr w:rsidR="0058275B" w:rsidRPr="00846DE8" w:rsidTr="007A503A">
        <w:trPr>
          <w:trHeight w:val="307"/>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1</w:t>
            </w:r>
          </w:p>
        </w:tc>
        <w:tc>
          <w:tcPr>
            <w:tcW w:w="5211" w:type="dxa"/>
            <w:tcBorders>
              <w:top w:val="nil"/>
              <w:left w:val="nil"/>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Вилка кабельная 035-63А-6h-380AC-3P+PE+N-IP67</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120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1 366,58</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163 989,60</w:t>
            </w:r>
          </w:p>
        </w:tc>
      </w:tr>
      <w:tr w:rsidR="0058275B" w:rsidRPr="00846DE8" w:rsidTr="007A503A">
        <w:trPr>
          <w:trHeight w:val="284"/>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2</w:t>
            </w:r>
          </w:p>
        </w:tc>
        <w:tc>
          <w:tcPr>
            <w:tcW w:w="5211" w:type="dxa"/>
            <w:tcBorders>
              <w:top w:val="nil"/>
              <w:left w:val="nil"/>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Вилка кабельная 045-125А-6h-380AC-3P+PE+N-IP67</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5 125,35</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307 521,00</w:t>
            </w:r>
          </w:p>
        </w:tc>
      </w:tr>
      <w:tr w:rsidR="0058275B" w:rsidRPr="00846DE8" w:rsidTr="007A503A">
        <w:trPr>
          <w:trHeight w:val="259"/>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3</w:t>
            </w:r>
          </w:p>
        </w:tc>
        <w:tc>
          <w:tcPr>
            <w:tcW w:w="5211" w:type="dxa"/>
            <w:tcBorders>
              <w:top w:val="nil"/>
              <w:left w:val="nil"/>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Кабель </w:t>
            </w:r>
            <w:proofErr w:type="spellStart"/>
            <w:r w:rsidRPr="00846DE8">
              <w:rPr>
                <w:rFonts w:ascii="Times New Roman" w:hAnsi="Times New Roman" w:cs="Times New Roman"/>
                <w:sz w:val="20"/>
                <w:szCs w:val="20"/>
                <w:lang w:eastAsia="ru-RU"/>
              </w:rPr>
              <w:t>КГтп</w:t>
            </w:r>
            <w:proofErr w:type="spellEnd"/>
            <w:r w:rsidRPr="00846DE8">
              <w:rPr>
                <w:rFonts w:ascii="Times New Roman" w:hAnsi="Times New Roman" w:cs="Times New Roman"/>
                <w:sz w:val="20"/>
                <w:szCs w:val="20"/>
                <w:lang w:eastAsia="ru-RU"/>
              </w:rPr>
              <w:t xml:space="preserve"> 5x25</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м.</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1 458,87</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437 661,00</w:t>
            </w:r>
          </w:p>
        </w:tc>
      </w:tr>
      <w:tr w:rsidR="0058275B" w:rsidRPr="00846DE8" w:rsidTr="007A503A">
        <w:trPr>
          <w:trHeight w:val="199"/>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4</w:t>
            </w:r>
          </w:p>
        </w:tc>
        <w:tc>
          <w:tcPr>
            <w:tcW w:w="5211" w:type="dxa"/>
            <w:tcBorders>
              <w:top w:val="nil"/>
              <w:left w:val="nil"/>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Кабель </w:t>
            </w:r>
            <w:proofErr w:type="spellStart"/>
            <w:r w:rsidRPr="00846DE8">
              <w:rPr>
                <w:rFonts w:ascii="Times New Roman" w:hAnsi="Times New Roman" w:cs="Times New Roman"/>
                <w:sz w:val="20"/>
                <w:szCs w:val="20"/>
                <w:lang w:eastAsia="ru-RU"/>
              </w:rPr>
              <w:t>КГтп</w:t>
            </w:r>
            <w:proofErr w:type="spellEnd"/>
            <w:r w:rsidRPr="00846DE8">
              <w:rPr>
                <w:rFonts w:ascii="Times New Roman" w:hAnsi="Times New Roman" w:cs="Times New Roman"/>
                <w:sz w:val="20"/>
                <w:szCs w:val="20"/>
                <w:lang w:eastAsia="ru-RU"/>
              </w:rPr>
              <w:t xml:space="preserve"> 5x16</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м.</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982,09</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392 836,00</w:t>
            </w:r>
          </w:p>
        </w:tc>
      </w:tr>
      <w:tr w:rsidR="0058275B" w:rsidRPr="00846DE8" w:rsidTr="007A503A">
        <w:trPr>
          <w:trHeight w:val="332"/>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5</w:t>
            </w:r>
          </w:p>
        </w:tc>
        <w:tc>
          <w:tcPr>
            <w:tcW w:w="5211" w:type="dxa"/>
            <w:tcBorders>
              <w:top w:val="nil"/>
              <w:left w:val="nil"/>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Кабель </w:t>
            </w:r>
            <w:proofErr w:type="spellStart"/>
            <w:r w:rsidRPr="00846DE8">
              <w:rPr>
                <w:rFonts w:ascii="Times New Roman" w:hAnsi="Times New Roman" w:cs="Times New Roman"/>
                <w:sz w:val="20"/>
                <w:szCs w:val="20"/>
                <w:lang w:eastAsia="ru-RU"/>
              </w:rPr>
              <w:t>КГтп</w:t>
            </w:r>
            <w:proofErr w:type="spellEnd"/>
            <w:r w:rsidRPr="00846DE8">
              <w:rPr>
                <w:rFonts w:ascii="Times New Roman" w:hAnsi="Times New Roman" w:cs="Times New Roman"/>
                <w:sz w:val="20"/>
                <w:szCs w:val="20"/>
                <w:lang w:eastAsia="ru-RU"/>
              </w:rPr>
              <w:t xml:space="preserve"> 5x10</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м.</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647,38</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323 690,00</w:t>
            </w:r>
          </w:p>
        </w:tc>
      </w:tr>
      <w:tr w:rsidR="0058275B" w:rsidRPr="00846DE8" w:rsidTr="007A503A">
        <w:trPr>
          <w:trHeight w:val="279"/>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6</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Вилка </w:t>
            </w:r>
            <w:r>
              <w:rPr>
                <w:rFonts w:ascii="Times New Roman" w:hAnsi="Times New Roman" w:cs="Times New Roman"/>
                <w:sz w:val="20"/>
                <w:szCs w:val="20"/>
                <w:lang w:eastAsia="ru-RU"/>
              </w:rPr>
              <w:t xml:space="preserve">прямая 16А 2Р+РЕ 230В </w:t>
            </w:r>
            <w:r>
              <w:rPr>
                <w:rFonts w:ascii="Times New Roman" w:hAnsi="Times New Roman" w:cs="Times New Roman"/>
                <w:sz w:val="20"/>
                <w:szCs w:val="20"/>
                <w:lang w:val="en-US" w:eastAsia="ru-RU"/>
              </w:rPr>
              <w:t>IP</w:t>
            </w:r>
            <w:r w:rsidRPr="00846DE8">
              <w:rPr>
                <w:rFonts w:ascii="Times New Roman" w:hAnsi="Times New Roman" w:cs="Times New Roman"/>
                <w:sz w:val="20"/>
                <w:szCs w:val="20"/>
                <w:lang w:eastAsia="ru-RU"/>
              </w:rPr>
              <w:t>44</w:t>
            </w:r>
            <w:r>
              <w:rPr>
                <w:rFonts w:ascii="Times New Roman" w:hAnsi="Times New Roman" w:cs="Times New Roman"/>
                <w:sz w:val="20"/>
                <w:szCs w:val="20"/>
                <w:lang w:eastAsia="ru-RU"/>
              </w:rPr>
              <w:t xml:space="preserve"> каучук</w:t>
            </w:r>
            <w:r w:rsidRPr="00846DE8">
              <w:rPr>
                <w:rFonts w:ascii="Times New Roman" w:hAnsi="Times New Roman" w:cs="Times New Roman"/>
                <w:sz w:val="20"/>
                <w:szCs w:val="20"/>
                <w:lang w:eastAsia="ru-RU"/>
              </w:rPr>
              <w:t xml:space="preserve"> </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120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70,60</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8 472,00</w:t>
            </w:r>
          </w:p>
        </w:tc>
      </w:tr>
      <w:tr w:rsidR="0058275B" w:rsidRPr="00846DE8" w:rsidTr="007A503A">
        <w:trPr>
          <w:trHeight w:val="270"/>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7</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Розеточ</w:t>
            </w:r>
            <w:r>
              <w:rPr>
                <w:rFonts w:ascii="Times New Roman" w:hAnsi="Times New Roman" w:cs="Times New Roman"/>
                <w:sz w:val="20"/>
                <w:szCs w:val="20"/>
                <w:lang w:eastAsia="ru-RU"/>
              </w:rPr>
              <w:t>н</w:t>
            </w:r>
            <w:r w:rsidRPr="00846DE8">
              <w:rPr>
                <w:rFonts w:ascii="Times New Roman" w:hAnsi="Times New Roman" w:cs="Times New Roman"/>
                <w:sz w:val="20"/>
                <w:szCs w:val="20"/>
                <w:lang w:eastAsia="ru-RU"/>
              </w:rPr>
              <w:t>ая колодка каучук с крышками 2-х местная 230В</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219,58</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13 174,80</w:t>
            </w:r>
          </w:p>
        </w:tc>
      </w:tr>
      <w:tr w:rsidR="0058275B" w:rsidRPr="00846DE8" w:rsidTr="007A503A">
        <w:trPr>
          <w:trHeight w:val="312"/>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Удлинитель </w:t>
            </w:r>
            <w:r>
              <w:rPr>
                <w:rFonts w:ascii="Times New Roman" w:hAnsi="Times New Roman" w:cs="Times New Roman"/>
                <w:sz w:val="20"/>
                <w:szCs w:val="20"/>
                <w:lang w:eastAsia="ru-RU"/>
              </w:rPr>
              <w:t xml:space="preserve">на металлической катушке  с 4 </w:t>
            </w:r>
            <w:proofErr w:type="spellStart"/>
            <w:r>
              <w:rPr>
                <w:rFonts w:ascii="Times New Roman" w:hAnsi="Times New Roman" w:cs="Times New Roman"/>
                <w:sz w:val="20"/>
                <w:szCs w:val="20"/>
                <w:lang w:eastAsia="ru-RU"/>
              </w:rPr>
              <w:t>гн</w:t>
            </w:r>
            <w:proofErr w:type="spellEnd"/>
            <w:r>
              <w:rPr>
                <w:rFonts w:ascii="Times New Roman" w:hAnsi="Times New Roman" w:cs="Times New Roman"/>
                <w:sz w:val="20"/>
                <w:szCs w:val="20"/>
                <w:lang w:eastAsia="ru-RU"/>
              </w:rPr>
              <w:t xml:space="preserve">.  з/к </w:t>
            </w:r>
            <w:proofErr w:type="gramStart"/>
            <w:r>
              <w:rPr>
                <w:rFonts w:ascii="Times New Roman" w:hAnsi="Times New Roman" w:cs="Times New Roman"/>
                <w:sz w:val="20"/>
                <w:szCs w:val="20"/>
                <w:lang w:eastAsia="ru-RU"/>
              </w:rPr>
              <w:t>КГ</w:t>
            </w:r>
            <w:proofErr w:type="gramEnd"/>
            <w:r>
              <w:rPr>
                <w:rFonts w:ascii="Times New Roman" w:hAnsi="Times New Roman" w:cs="Times New Roman"/>
                <w:sz w:val="20"/>
                <w:szCs w:val="20"/>
                <w:lang w:eastAsia="ru-RU"/>
              </w:rPr>
              <w:t xml:space="preserve"> 3х2,5 </w:t>
            </w:r>
            <w:r>
              <w:rPr>
                <w:rFonts w:ascii="Times New Roman" w:hAnsi="Times New Roman" w:cs="Times New Roman"/>
                <w:sz w:val="20"/>
                <w:szCs w:val="20"/>
                <w:lang w:val="en-US" w:eastAsia="ru-RU"/>
              </w:rPr>
              <w:t>IP</w:t>
            </w:r>
            <w:r w:rsidRPr="00FD7133">
              <w:rPr>
                <w:rFonts w:ascii="Times New Roman" w:hAnsi="Times New Roman" w:cs="Times New Roman"/>
                <w:sz w:val="20"/>
                <w:szCs w:val="20"/>
                <w:lang w:eastAsia="ru-RU"/>
              </w:rPr>
              <w:t>-44 40</w:t>
            </w:r>
            <w:r>
              <w:rPr>
                <w:rFonts w:ascii="Times New Roman" w:hAnsi="Times New Roman" w:cs="Times New Roman"/>
                <w:sz w:val="20"/>
                <w:szCs w:val="20"/>
                <w:lang w:eastAsia="ru-RU"/>
              </w:rPr>
              <w:t>м</w:t>
            </w:r>
            <w:r w:rsidRPr="00846DE8">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230В</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бар</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9 803,51</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98 035,10</w:t>
            </w:r>
          </w:p>
        </w:tc>
      </w:tr>
      <w:tr w:rsidR="0058275B" w:rsidRPr="00846DE8" w:rsidTr="007A503A">
        <w:trPr>
          <w:trHeight w:val="273"/>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Удлинитель </w:t>
            </w:r>
            <w:r>
              <w:rPr>
                <w:rFonts w:ascii="Times New Roman" w:hAnsi="Times New Roman" w:cs="Times New Roman"/>
                <w:sz w:val="20"/>
                <w:szCs w:val="20"/>
                <w:lang w:eastAsia="ru-RU"/>
              </w:rPr>
              <w:t xml:space="preserve">на металлической катушке  с 4 </w:t>
            </w:r>
            <w:proofErr w:type="spellStart"/>
            <w:r>
              <w:rPr>
                <w:rFonts w:ascii="Times New Roman" w:hAnsi="Times New Roman" w:cs="Times New Roman"/>
                <w:sz w:val="20"/>
                <w:szCs w:val="20"/>
                <w:lang w:eastAsia="ru-RU"/>
              </w:rPr>
              <w:t>гн</w:t>
            </w:r>
            <w:proofErr w:type="spellEnd"/>
            <w:r>
              <w:rPr>
                <w:rFonts w:ascii="Times New Roman" w:hAnsi="Times New Roman" w:cs="Times New Roman"/>
                <w:sz w:val="20"/>
                <w:szCs w:val="20"/>
                <w:lang w:eastAsia="ru-RU"/>
              </w:rPr>
              <w:t xml:space="preserve">.  з/к </w:t>
            </w:r>
            <w:proofErr w:type="gramStart"/>
            <w:r>
              <w:rPr>
                <w:rFonts w:ascii="Times New Roman" w:hAnsi="Times New Roman" w:cs="Times New Roman"/>
                <w:sz w:val="20"/>
                <w:szCs w:val="20"/>
                <w:lang w:eastAsia="ru-RU"/>
              </w:rPr>
              <w:t>КГ</w:t>
            </w:r>
            <w:proofErr w:type="gramEnd"/>
            <w:r>
              <w:rPr>
                <w:rFonts w:ascii="Times New Roman" w:hAnsi="Times New Roman" w:cs="Times New Roman"/>
                <w:sz w:val="20"/>
                <w:szCs w:val="20"/>
                <w:lang w:eastAsia="ru-RU"/>
              </w:rPr>
              <w:t xml:space="preserve"> 3х2,5 </w:t>
            </w:r>
            <w:r>
              <w:rPr>
                <w:rFonts w:ascii="Times New Roman" w:hAnsi="Times New Roman" w:cs="Times New Roman"/>
                <w:sz w:val="20"/>
                <w:szCs w:val="20"/>
                <w:lang w:val="en-US" w:eastAsia="ru-RU"/>
              </w:rPr>
              <w:t>IP</w:t>
            </w:r>
            <w:r w:rsidRPr="00FD7133">
              <w:rPr>
                <w:rFonts w:ascii="Times New Roman" w:hAnsi="Times New Roman" w:cs="Times New Roman"/>
                <w:sz w:val="20"/>
                <w:szCs w:val="20"/>
                <w:lang w:eastAsia="ru-RU"/>
              </w:rPr>
              <w:t xml:space="preserve">-44 </w:t>
            </w:r>
            <w:r>
              <w:rPr>
                <w:rFonts w:ascii="Times New Roman" w:hAnsi="Times New Roman" w:cs="Times New Roman"/>
                <w:sz w:val="20"/>
                <w:szCs w:val="20"/>
                <w:lang w:eastAsia="ru-RU"/>
              </w:rPr>
              <w:t>3</w:t>
            </w:r>
            <w:r w:rsidRPr="00FD7133">
              <w:rPr>
                <w:rFonts w:ascii="Times New Roman" w:hAnsi="Times New Roman" w:cs="Times New Roman"/>
                <w:sz w:val="20"/>
                <w:szCs w:val="20"/>
                <w:lang w:eastAsia="ru-RU"/>
              </w:rPr>
              <w:t>0</w:t>
            </w:r>
            <w:r>
              <w:rPr>
                <w:rFonts w:ascii="Times New Roman" w:hAnsi="Times New Roman" w:cs="Times New Roman"/>
                <w:sz w:val="20"/>
                <w:szCs w:val="20"/>
                <w:lang w:eastAsia="ru-RU"/>
              </w:rPr>
              <w:t>м 230В</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бар</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15</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8 342,22</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125 133,30</w:t>
            </w:r>
          </w:p>
        </w:tc>
      </w:tr>
      <w:tr w:rsidR="0058275B" w:rsidRPr="00846DE8" w:rsidTr="007A503A">
        <w:trPr>
          <w:trHeight w:val="278"/>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Удлинитель </w:t>
            </w:r>
            <w:r>
              <w:rPr>
                <w:rFonts w:ascii="Times New Roman" w:hAnsi="Times New Roman" w:cs="Times New Roman"/>
                <w:sz w:val="20"/>
                <w:szCs w:val="20"/>
                <w:lang w:eastAsia="ru-RU"/>
              </w:rPr>
              <w:t xml:space="preserve">на металлической катушке  с 4 </w:t>
            </w:r>
            <w:proofErr w:type="spellStart"/>
            <w:r>
              <w:rPr>
                <w:rFonts w:ascii="Times New Roman" w:hAnsi="Times New Roman" w:cs="Times New Roman"/>
                <w:sz w:val="20"/>
                <w:szCs w:val="20"/>
                <w:lang w:eastAsia="ru-RU"/>
              </w:rPr>
              <w:t>гн</w:t>
            </w:r>
            <w:proofErr w:type="spellEnd"/>
            <w:r>
              <w:rPr>
                <w:rFonts w:ascii="Times New Roman" w:hAnsi="Times New Roman" w:cs="Times New Roman"/>
                <w:sz w:val="20"/>
                <w:szCs w:val="20"/>
                <w:lang w:eastAsia="ru-RU"/>
              </w:rPr>
              <w:t xml:space="preserve">.  з/к </w:t>
            </w:r>
            <w:proofErr w:type="gramStart"/>
            <w:r>
              <w:rPr>
                <w:rFonts w:ascii="Times New Roman" w:hAnsi="Times New Roman" w:cs="Times New Roman"/>
                <w:sz w:val="20"/>
                <w:szCs w:val="20"/>
                <w:lang w:eastAsia="ru-RU"/>
              </w:rPr>
              <w:t>КГ</w:t>
            </w:r>
            <w:proofErr w:type="gramEnd"/>
            <w:r>
              <w:rPr>
                <w:rFonts w:ascii="Times New Roman" w:hAnsi="Times New Roman" w:cs="Times New Roman"/>
                <w:sz w:val="20"/>
                <w:szCs w:val="20"/>
                <w:lang w:eastAsia="ru-RU"/>
              </w:rPr>
              <w:t xml:space="preserve"> 3х2,5 </w:t>
            </w:r>
            <w:r>
              <w:rPr>
                <w:rFonts w:ascii="Times New Roman" w:hAnsi="Times New Roman" w:cs="Times New Roman"/>
                <w:sz w:val="20"/>
                <w:szCs w:val="20"/>
                <w:lang w:val="en-US" w:eastAsia="ru-RU"/>
              </w:rPr>
              <w:t>IP</w:t>
            </w:r>
            <w:r w:rsidRPr="00FD7133">
              <w:rPr>
                <w:rFonts w:ascii="Times New Roman" w:hAnsi="Times New Roman" w:cs="Times New Roman"/>
                <w:sz w:val="20"/>
                <w:szCs w:val="20"/>
                <w:lang w:eastAsia="ru-RU"/>
              </w:rPr>
              <w:t xml:space="preserve">-44 </w:t>
            </w:r>
            <w:r>
              <w:rPr>
                <w:rFonts w:ascii="Times New Roman" w:hAnsi="Times New Roman" w:cs="Times New Roman"/>
                <w:sz w:val="20"/>
                <w:szCs w:val="20"/>
                <w:lang w:eastAsia="ru-RU"/>
              </w:rPr>
              <w:t>2</w:t>
            </w:r>
            <w:r w:rsidRPr="00FD7133">
              <w:rPr>
                <w:rFonts w:ascii="Times New Roman" w:hAnsi="Times New Roman" w:cs="Times New Roman"/>
                <w:sz w:val="20"/>
                <w:szCs w:val="20"/>
                <w:lang w:eastAsia="ru-RU"/>
              </w:rPr>
              <w:t>0</w:t>
            </w:r>
            <w:r>
              <w:rPr>
                <w:rFonts w:ascii="Times New Roman" w:hAnsi="Times New Roman" w:cs="Times New Roman"/>
                <w:sz w:val="20"/>
                <w:szCs w:val="20"/>
                <w:lang w:eastAsia="ru-RU"/>
              </w:rPr>
              <w:t>м 230В</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бар</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5 856,08</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58 560,80</w:t>
            </w:r>
          </w:p>
        </w:tc>
      </w:tr>
      <w:tr w:rsidR="0058275B" w:rsidRPr="00846DE8" w:rsidTr="007A503A">
        <w:trPr>
          <w:trHeight w:val="233"/>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Кабель ПВС 3x2,5</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м.</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83,97</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50 382,00</w:t>
            </w:r>
          </w:p>
        </w:tc>
      </w:tr>
      <w:tr w:rsidR="0058275B" w:rsidRPr="00846DE8" w:rsidTr="007A503A">
        <w:trPr>
          <w:trHeight w:val="298"/>
        </w:trPr>
        <w:tc>
          <w:tcPr>
            <w:tcW w:w="474" w:type="dxa"/>
            <w:tcBorders>
              <w:top w:val="nil"/>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5211"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Кабель ПВС 4x2,5</w:t>
            </w:r>
          </w:p>
        </w:tc>
        <w:tc>
          <w:tcPr>
            <w:tcW w:w="851" w:type="dxa"/>
            <w:tcBorders>
              <w:top w:val="nil"/>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м.</w:t>
            </w:r>
          </w:p>
        </w:tc>
        <w:tc>
          <w:tcPr>
            <w:tcW w:w="992" w:type="dxa"/>
            <w:tcBorders>
              <w:top w:val="nil"/>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113,85</w:t>
            </w:r>
          </w:p>
        </w:tc>
        <w:tc>
          <w:tcPr>
            <w:tcW w:w="1809" w:type="dxa"/>
            <w:tcBorders>
              <w:top w:val="nil"/>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68 310,00</w:t>
            </w:r>
          </w:p>
        </w:tc>
      </w:tr>
      <w:tr w:rsidR="0058275B" w:rsidRPr="00846DE8" w:rsidTr="007A503A">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5211" w:type="dxa"/>
            <w:tcBorders>
              <w:top w:val="single" w:sz="4" w:space="0" w:color="auto"/>
              <w:left w:val="nil"/>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 xml:space="preserve">РОЗЕТКА СТАЦИОНАРНАЯ ССИ-145 125А-6Ч/200/346-240/415В 3Р+РЕ+N IP67 MAGNUM | PSN12-125-5 </w:t>
            </w:r>
          </w:p>
        </w:tc>
        <w:tc>
          <w:tcPr>
            <w:tcW w:w="851" w:type="dxa"/>
            <w:tcBorders>
              <w:top w:val="single" w:sz="4" w:space="0" w:color="auto"/>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10</w:t>
            </w:r>
          </w:p>
        </w:tc>
        <w:tc>
          <w:tcPr>
            <w:tcW w:w="1276" w:type="dxa"/>
            <w:tcBorders>
              <w:top w:val="single" w:sz="4" w:space="0" w:color="auto"/>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6 275,87</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62 758,70</w:t>
            </w:r>
          </w:p>
        </w:tc>
      </w:tr>
      <w:tr w:rsidR="0058275B" w:rsidRPr="00846DE8" w:rsidTr="007A503A">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5211" w:type="dxa"/>
            <w:tcBorders>
              <w:top w:val="single" w:sz="4" w:space="0" w:color="auto"/>
              <w:left w:val="nil"/>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Наконечник ТМЛ 10</w:t>
            </w:r>
            <w:r>
              <w:rPr>
                <w:rFonts w:ascii="Times New Roman" w:hAnsi="Times New Roman" w:cs="Times New Roman"/>
                <w:sz w:val="20"/>
                <w:szCs w:val="20"/>
                <w:lang w:eastAsia="ru-RU"/>
              </w:rPr>
              <w:t>-6-5</w:t>
            </w:r>
          </w:p>
        </w:tc>
        <w:tc>
          <w:tcPr>
            <w:tcW w:w="851" w:type="dxa"/>
            <w:tcBorders>
              <w:top w:val="single" w:sz="4" w:space="0" w:color="auto"/>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160</w:t>
            </w:r>
          </w:p>
        </w:tc>
        <w:tc>
          <w:tcPr>
            <w:tcW w:w="1276" w:type="dxa"/>
            <w:tcBorders>
              <w:top w:val="single" w:sz="4" w:space="0" w:color="auto"/>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17,96</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2 873,60</w:t>
            </w:r>
          </w:p>
        </w:tc>
      </w:tr>
      <w:tr w:rsidR="0058275B" w:rsidRPr="00846DE8" w:rsidTr="007A503A">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5211" w:type="dxa"/>
            <w:tcBorders>
              <w:top w:val="single" w:sz="4" w:space="0" w:color="auto"/>
              <w:left w:val="nil"/>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Наконечник ТМЛ 16</w:t>
            </w:r>
            <w:r>
              <w:rPr>
                <w:rFonts w:ascii="Times New Roman" w:hAnsi="Times New Roman" w:cs="Times New Roman"/>
                <w:sz w:val="20"/>
                <w:szCs w:val="20"/>
                <w:lang w:eastAsia="ru-RU"/>
              </w:rPr>
              <w:t>-6-6</w:t>
            </w:r>
          </w:p>
        </w:tc>
        <w:tc>
          <w:tcPr>
            <w:tcW w:w="851" w:type="dxa"/>
            <w:tcBorders>
              <w:top w:val="single" w:sz="4" w:space="0" w:color="auto"/>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200</w:t>
            </w:r>
          </w:p>
        </w:tc>
        <w:tc>
          <w:tcPr>
            <w:tcW w:w="1276" w:type="dxa"/>
            <w:tcBorders>
              <w:top w:val="single" w:sz="4" w:space="0" w:color="auto"/>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21,00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4 200,00</w:t>
            </w:r>
          </w:p>
        </w:tc>
      </w:tr>
      <w:tr w:rsidR="0058275B" w:rsidRPr="00846DE8" w:rsidTr="007A503A">
        <w:trPr>
          <w:trHeight w:val="158"/>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5211" w:type="dxa"/>
            <w:tcBorders>
              <w:top w:val="single" w:sz="4" w:space="0" w:color="auto"/>
              <w:left w:val="nil"/>
              <w:bottom w:val="single" w:sz="4" w:space="0" w:color="auto"/>
              <w:right w:val="single" w:sz="4" w:space="0" w:color="auto"/>
            </w:tcBorders>
            <w:shd w:val="clear" w:color="auto" w:fill="auto"/>
            <w:noWrap/>
            <w:vAlign w:val="bottom"/>
          </w:tcPr>
          <w:p w:rsidR="0058275B" w:rsidRPr="00846DE8" w:rsidRDefault="0058275B" w:rsidP="007A503A">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Наконечник ТМЛ 25</w:t>
            </w:r>
            <w:r>
              <w:rPr>
                <w:rFonts w:ascii="Times New Roman" w:hAnsi="Times New Roman" w:cs="Times New Roman"/>
                <w:sz w:val="20"/>
                <w:szCs w:val="20"/>
                <w:lang w:eastAsia="ru-RU"/>
              </w:rPr>
              <w:t>-8-8</w:t>
            </w:r>
          </w:p>
        </w:tc>
        <w:tc>
          <w:tcPr>
            <w:tcW w:w="851" w:type="dxa"/>
            <w:tcBorders>
              <w:top w:val="single" w:sz="4" w:space="0" w:color="auto"/>
              <w:left w:val="nil"/>
              <w:bottom w:val="single" w:sz="4" w:space="0" w:color="auto"/>
              <w:right w:val="single" w:sz="4" w:space="0" w:color="auto"/>
            </w:tcBorders>
            <w:shd w:val="clear" w:color="auto" w:fill="auto"/>
            <w:noWrap/>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200</w:t>
            </w:r>
          </w:p>
        </w:tc>
        <w:tc>
          <w:tcPr>
            <w:tcW w:w="1276" w:type="dxa"/>
            <w:tcBorders>
              <w:top w:val="single" w:sz="4" w:space="0" w:color="auto"/>
              <w:left w:val="nil"/>
              <w:bottom w:val="single" w:sz="4" w:space="0" w:color="auto"/>
              <w:right w:val="single" w:sz="4" w:space="0" w:color="auto"/>
            </w:tcBorders>
            <w:vAlign w:val="center"/>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28,23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sz w:val="20"/>
                <w:szCs w:val="20"/>
              </w:rPr>
            </w:pPr>
            <w:r w:rsidRPr="00846DE8">
              <w:rPr>
                <w:rFonts w:ascii="Times New Roman" w:hAnsi="Times New Roman" w:cs="Times New Roman"/>
                <w:sz w:val="20"/>
                <w:szCs w:val="20"/>
              </w:rPr>
              <w:t>5 646,00</w:t>
            </w:r>
          </w:p>
        </w:tc>
      </w:tr>
      <w:tr w:rsidR="0058275B" w:rsidRPr="00846DE8" w:rsidTr="007A503A">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jc w:val="right"/>
              <w:rPr>
                <w:rFonts w:ascii="Times New Roman" w:hAnsi="Times New Roman" w:cs="Times New Roman"/>
                <w:b/>
                <w:sz w:val="20"/>
                <w:szCs w:val="20"/>
              </w:rPr>
            </w:pPr>
            <w:r w:rsidRPr="00846DE8">
              <w:rPr>
                <w:rFonts w:ascii="Times New Roman" w:hAnsi="Times New Roman" w:cs="Times New Roman"/>
                <w:b/>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b/>
                <w:sz w:val="20"/>
                <w:szCs w:val="20"/>
              </w:rPr>
            </w:pPr>
            <w:r w:rsidRPr="00846DE8">
              <w:rPr>
                <w:rFonts w:ascii="Times New Roman" w:hAnsi="Times New Roman" w:cs="Times New Roman"/>
                <w:b/>
                <w:sz w:val="20"/>
                <w:szCs w:val="20"/>
              </w:rPr>
              <w:t>2 123 243,90</w:t>
            </w:r>
          </w:p>
        </w:tc>
      </w:tr>
      <w:tr w:rsidR="0058275B" w:rsidRPr="00846DE8" w:rsidTr="007A503A">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jc w:val="right"/>
              <w:rPr>
                <w:rFonts w:ascii="Times New Roman" w:hAnsi="Times New Roman" w:cs="Times New Roman"/>
                <w:b/>
                <w:sz w:val="20"/>
                <w:szCs w:val="20"/>
              </w:rPr>
            </w:pPr>
            <w:r w:rsidRPr="00846DE8">
              <w:rPr>
                <w:rFonts w:ascii="Times New Roman" w:hAnsi="Times New Roman" w:cs="Times New Roman"/>
                <w:b/>
                <w:sz w:val="20"/>
                <w:szCs w:val="20"/>
              </w:rPr>
              <w:t xml:space="preserve">В </w:t>
            </w:r>
            <w:proofErr w:type="spellStart"/>
            <w:r w:rsidRPr="00846DE8">
              <w:rPr>
                <w:rFonts w:ascii="Times New Roman" w:hAnsi="Times New Roman" w:cs="Times New Roman"/>
                <w:b/>
                <w:sz w:val="20"/>
                <w:szCs w:val="20"/>
              </w:rPr>
              <w:t>т.ч</w:t>
            </w:r>
            <w:proofErr w:type="spellEnd"/>
            <w:r w:rsidRPr="00846DE8">
              <w:rPr>
                <w:rFonts w:ascii="Times New Roman" w:hAnsi="Times New Roman" w:cs="Times New Roman"/>
                <w:b/>
                <w:sz w:val="20"/>
                <w:szCs w:val="20"/>
              </w:rPr>
              <w:t>. НДС 20%: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b/>
                <w:sz w:val="20"/>
                <w:szCs w:val="20"/>
              </w:rPr>
            </w:pPr>
            <w:r w:rsidRPr="00846DE8">
              <w:rPr>
                <w:rFonts w:ascii="Times New Roman" w:hAnsi="Times New Roman" w:cs="Times New Roman"/>
                <w:b/>
                <w:sz w:val="20"/>
                <w:szCs w:val="20"/>
              </w:rPr>
              <w:t>353 873,97</w:t>
            </w:r>
          </w:p>
        </w:tc>
      </w:tr>
      <w:tr w:rsidR="0058275B" w:rsidRPr="00846DE8" w:rsidTr="007A503A">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8275B" w:rsidRPr="00846DE8" w:rsidRDefault="0058275B" w:rsidP="007A503A">
            <w:pPr>
              <w:pStyle w:val="af4"/>
              <w:jc w:val="right"/>
              <w:rPr>
                <w:rFonts w:ascii="Times New Roman" w:hAnsi="Times New Roman" w:cs="Times New Roman"/>
                <w:b/>
                <w:sz w:val="20"/>
                <w:szCs w:val="20"/>
              </w:rPr>
            </w:pPr>
            <w:r w:rsidRPr="00846DE8">
              <w:rPr>
                <w:rFonts w:ascii="Times New Roman" w:hAnsi="Times New Roman" w:cs="Times New Roman"/>
                <w:b/>
                <w:sz w:val="20"/>
                <w:szCs w:val="20"/>
              </w:rPr>
              <w:t>Всего к оплате: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8275B" w:rsidRPr="00846DE8" w:rsidRDefault="0058275B" w:rsidP="007A503A">
            <w:pPr>
              <w:pStyle w:val="af4"/>
              <w:jc w:val="center"/>
              <w:rPr>
                <w:rFonts w:ascii="Times New Roman" w:hAnsi="Times New Roman" w:cs="Times New Roman"/>
                <w:b/>
                <w:sz w:val="20"/>
                <w:szCs w:val="20"/>
              </w:rPr>
            </w:pPr>
            <w:r>
              <w:rPr>
                <w:rFonts w:ascii="Times New Roman" w:hAnsi="Times New Roman" w:cs="Times New Roman"/>
                <w:b/>
                <w:sz w:val="20"/>
                <w:szCs w:val="20"/>
              </w:rPr>
              <w:t>2 123 243,90</w:t>
            </w:r>
          </w:p>
        </w:tc>
      </w:tr>
    </w:tbl>
    <w:p w:rsidR="0058275B" w:rsidRPr="003F54C0" w:rsidRDefault="0058275B" w:rsidP="0058275B">
      <w:pPr>
        <w:spacing w:after="0" w:line="240" w:lineRule="auto"/>
        <w:rPr>
          <w:rFonts w:ascii="Times New Roman" w:hAnsi="Times New Roman"/>
          <w:color w:val="FF0000"/>
          <w:sz w:val="20"/>
          <w:szCs w:val="20"/>
        </w:rPr>
      </w:pPr>
    </w:p>
    <w:p w:rsidR="0058275B" w:rsidRPr="00416338" w:rsidRDefault="0058275B" w:rsidP="0058275B">
      <w:pPr>
        <w:spacing w:after="0" w:line="240" w:lineRule="auto"/>
        <w:jc w:val="both"/>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7</w:t>
      </w:r>
      <w:r w:rsidRPr="00416338">
        <w:rPr>
          <w:rFonts w:ascii="Times New Roman" w:hAnsi="Times New Roman"/>
          <w:sz w:val="20"/>
          <w:szCs w:val="20"/>
        </w:rPr>
        <w:t>.</w:t>
      </w:r>
      <w:r>
        <w:rPr>
          <w:rFonts w:ascii="Times New Roman" w:hAnsi="Times New Roman"/>
          <w:sz w:val="20"/>
          <w:szCs w:val="20"/>
        </w:rPr>
        <w:t xml:space="preserve"> </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w:t>
      </w:r>
      <w:r>
        <w:rPr>
          <w:rFonts w:ascii="Times New Roman" w:hAnsi="Times New Roman"/>
          <w:sz w:val="20"/>
          <w:szCs w:val="20"/>
        </w:rPr>
        <w:t xml:space="preserve">доставка, </w:t>
      </w:r>
      <w:r w:rsidRPr="00416338">
        <w:rPr>
          <w:rFonts w:ascii="Times New Roman" w:hAnsi="Times New Roman"/>
          <w:sz w:val="20"/>
          <w:szCs w:val="20"/>
        </w:rPr>
        <w:t>расходы по уплате налогов и сборов, а так же другие обязательные  платежи.</w:t>
      </w:r>
    </w:p>
    <w:p w:rsidR="0058275B" w:rsidRPr="003F54C0" w:rsidRDefault="0058275B" w:rsidP="0058275B">
      <w:pPr>
        <w:spacing w:after="0" w:line="240" w:lineRule="auto"/>
        <w:rPr>
          <w:rFonts w:ascii="Times New Roman" w:hAnsi="Times New Roman"/>
          <w:color w:val="FF0000"/>
          <w:sz w:val="20"/>
          <w:szCs w:val="20"/>
        </w:rPr>
      </w:pPr>
    </w:p>
    <w:p w:rsidR="0058275B" w:rsidRPr="00416338" w:rsidRDefault="0058275B" w:rsidP="0058275B">
      <w:pPr>
        <w:pStyle w:val="af5"/>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58275B" w:rsidRPr="00416338" w:rsidRDefault="0058275B" w:rsidP="0058275B">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58275B" w:rsidRPr="00416338" w:rsidRDefault="0058275B" w:rsidP="0058275B">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58275B" w:rsidRPr="00416338" w:rsidRDefault="0058275B" w:rsidP="0058275B">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58275B" w:rsidRPr="00416338" w:rsidRDefault="0058275B" w:rsidP="0058275B">
      <w:pPr>
        <w:pStyle w:val="af5"/>
        <w:ind w:left="0"/>
        <w:rPr>
          <w:rFonts w:ascii="Times New Roman" w:hAnsi="Times New Roman"/>
          <w:sz w:val="20"/>
          <w:szCs w:val="20"/>
          <w:lang w:eastAsia="ru-RU"/>
        </w:rPr>
      </w:pPr>
    </w:p>
    <w:p w:rsidR="0058275B" w:rsidRPr="00416338" w:rsidRDefault="0058275B" w:rsidP="0058275B">
      <w:pPr>
        <w:pStyle w:val="af5"/>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lastRenderedPageBreak/>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w:t>
      </w:r>
      <w:r>
        <w:rPr>
          <w:rFonts w:ascii="Times New Roman" w:eastAsia="Times New Roman" w:hAnsi="Times New Roman"/>
          <w:sz w:val="20"/>
          <w:szCs w:val="20"/>
          <w:lang w:eastAsia="ru-RU"/>
        </w:rPr>
        <w:t>7</w:t>
      </w:r>
      <w:r w:rsidRPr="00171733">
        <w:rPr>
          <w:rFonts w:ascii="Times New Roman" w:eastAsia="Times New Roman" w:hAnsi="Times New Roman"/>
          <w:sz w:val="20"/>
          <w:szCs w:val="20"/>
          <w:lang w:eastAsia="ru-RU"/>
        </w:rPr>
        <w:t>., 2 настоящего Технического задания.</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3.6. Возможен </w:t>
      </w:r>
      <w:proofErr w:type="spellStart"/>
      <w:r w:rsidRPr="00171733">
        <w:rPr>
          <w:rFonts w:ascii="Times New Roman" w:eastAsia="Times New Roman" w:hAnsi="Times New Roman"/>
          <w:sz w:val="20"/>
          <w:szCs w:val="20"/>
          <w:lang w:eastAsia="ru-RU"/>
        </w:rPr>
        <w:t>толеранс</w:t>
      </w:r>
      <w:proofErr w:type="spellEnd"/>
      <w:r w:rsidRPr="00171733">
        <w:rPr>
          <w:rFonts w:ascii="Times New Roman" w:eastAsia="Times New Roman" w:hAnsi="Times New Roman"/>
          <w:sz w:val="20"/>
          <w:szCs w:val="20"/>
          <w:lang w:eastAsia="ru-RU"/>
        </w:rPr>
        <w:t>: -</w:t>
      </w:r>
      <w:r>
        <w:rPr>
          <w:rFonts w:ascii="Times New Roman" w:eastAsia="Times New Roman" w:hAnsi="Times New Roman"/>
          <w:sz w:val="20"/>
          <w:szCs w:val="20"/>
          <w:lang w:eastAsia="ru-RU"/>
        </w:rPr>
        <w:t>10</w:t>
      </w:r>
      <w:r w:rsidRPr="00171733">
        <w:rPr>
          <w:rFonts w:ascii="Times New Roman" w:eastAsia="Times New Roman" w:hAnsi="Times New Roman"/>
          <w:sz w:val="20"/>
          <w:szCs w:val="20"/>
          <w:lang w:eastAsia="ru-RU"/>
        </w:rPr>
        <w:t>/+</w:t>
      </w:r>
      <w:r>
        <w:rPr>
          <w:rFonts w:ascii="Times New Roman" w:eastAsia="Times New Roman" w:hAnsi="Times New Roman"/>
          <w:sz w:val="20"/>
          <w:szCs w:val="20"/>
          <w:lang w:eastAsia="ru-RU"/>
        </w:rPr>
        <w:t>10</w:t>
      </w:r>
      <w:r w:rsidRPr="00171733">
        <w:rPr>
          <w:rFonts w:ascii="Times New Roman" w:eastAsia="Times New Roman" w:hAnsi="Times New Roman"/>
          <w:sz w:val="20"/>
          <w:szCs w:val="20"/>
          <w:lang w:eastAsia="ru-RU"/>
        </w:rPr>
        <w:t xml:space="preserve">% (минус </w:t>
      </w:r>
      <w:r>
        <w:rPr>
          <w:rFonts w:ascii="Times New Roman" w:eastAsia="Times New Roman" w:hAnsi="Times New Roman"/>
          <w:sz w:val="20"/>
          <w:szCs w:val="20"/>
          <w:lang w:eastAsia="ru-RU"/>
        </w:rPr>
        <w:t>десять</w:t>
      </w:r>
      <w:r w:rsidRPr="00171733">
        <w:rPr>
          <w:rFonts w:ascii="Times New Roman" w:eastAsia="Times New Roman" w:hAnsi="Times New Roman"/>
          <w:sz w:val="20"/>
          <w:szCs w:val="20"/>
          <w:lang w:eastAsia="ru-RU"/>
        </w:rPr>
        <w:t xml:space="preserve">  / плюс </w:t>
      </w:r>
      <w:r>
        <w:rPr>
          <w:rFonts w:ascii="Times New Roman" w:eastAsia="Times New Roman" w:hAnsi="Times New Roman"/>
          <w:sz w:val="20"/>
          <w:szCs w:val="20"/>
          <w:lang w:eastAsia="ru-RU"/>
        </w:rPr>
        <w:t>десять</w:t>
      </w:r>
      <w:r w:rsidRPr="00171733">
        <w:rPr>
          <w:rFonts w:ascii="Times New Roman" w:eastAsia="Times New Roman" w:hAnsi="Times New Roman"/>
          <w:sz w:val="20"/>
          <w:szCs w:val="20"/>
          <w:lang w:eastAsia="ru-RU"/>
        </w:rPr>
        <w:t>) процентов от объема поставки</w:t>
      </w:r>
      <w:r>
        <w:rPr>
          <w:rFonts w:ascii="Times New Roman" w:eastAsia="Times New Roman" w:hAnsi="Times New Roman"/>
          <w:sz w:val="20"/>
          <w:szCs w:val="20"/>
          <w:lang w:eastAsia="ru-RU"/>
        </w:rPr>
        <w:t xml:space="preserve"> в отношении кабельной продукции в п. 1.6. данного ТЗ</w:t>
      </w:r>
      <w:r w:rsidRPr="00171733">
        <w:rPr>
          <w:rFonts w:ascii="Times New Roman" w:eastAsia="Times New Roman" w:hAnsi="Times New Roman"/>
          <w:sz w:val="20"/>
          <w:szCs w:val="20"/>
          <w:lang w:eastAsia="ru-RU"/>
        </w:rPr>
        <w:t xml:space="preserve">,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71733">
        <w:rPr>
          <w:rFonts w:ascii="Times New Roman" w:eastAsia="Times New Roman" w:hAnsi="Times New Roman"/>
          <w:sz w:val="20"/>
          <w:szCs w:val="20"/>
          <w:lang w:eastAsia="ru-RU"/>
        </w:rPr>
        <w:t>счет-фактуре</w:t>
      </w:r>
      <w:proofErr w:type="gramEnd"/>
      <w:r w:rsidRPr="00171733">
        <w:rPr>
          <w:rFonts w:ascii="Times New Roman" w:eastAsia="Times New Roman" w:hAnsi="Times New Roman"/>
          <w:sz w:val="20"/>
          <w:szCs w:val="20"/>
          <w:lang w:eastAsia="ru-RU"/>
        </w:rPr>
        <w:t>.</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r w:rsidRPr="00171733">
        <w:rPr>
          <w:rFonts w:ascii="Times New Roman" w:eastAsia="Times New Roman" w:hAnsi="Times New Roman"/>
          <w:sz w:val="20"/>
          <w:szCs w:val="20"/>
          <w:lang w:eastAsia="ru-RU"/>
        </w:rPr>
        <w:t>. Дополнительные требования и условия:</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58275B" w:rsidRPr="00416338" w:rsidRDefault="0058275B" w:rsidP="0058275B">
      <w:pPr>
        <w:pStyle w:val="af5"/>
        <w:ind w:left="0"/>
        <w:jc w:val="both"/>
        <w:rPr>
          <w:rFonts w:ascii="Times New Roman" w:hAnsi="Times New Roman"/>
          <w:sz w:val="20"/>
          <w:szCs w:val="20"/>
          <w:lang w:eastAsia="ru-RU"/>
        </w:rPr>
      </w:pPr>
    </w:p>
    <w:p w:rsidR="0058275B" w:rsidRPr="00416338" w:rsidRDefault="0058275B" w:rsidP="0058275B">
      <w:pPr>
        <w:pStyle w:val="af5"/>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w:t>
      </w:r>
      <w:r>
        <w:rPr>
          <w:rFonts w:ascii="Times New Roman" w:eastAsia="Times New Roman" w:hAnsi="Times New Roman"/>
          <w:sz w:val="20"/>
          <w:szCs w:val="20"/>
          <w:lang w:eastAsia="ru-RU"/>
        </w:rPr>
        <w:t>2022</w:t>
      </w:r>
      <w:r w:rsidRPr="00171733">
        <w:rPr>
          <w:rFonts w:ascii="Times New Roman" w:eastAsia="Times New Roman" w:hAnsi="Times New Roman"/>
          <w:sz w:val="20"/>
          <w:szCs w:val="20"/>
          <w:lang w:eastAsia="ru-RU"/>
        </w:rPr>
        <w:t xml:space="preserve"> года. </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58275B" w:rsidRPr="00416338" w:rsidRDefault="0058275B" w:rsidP="0058275B">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58275B" w:rsidRPr="00171733" w:rsidRDefault="0058275B" w:rsidP="0058275B">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58275B" w:rsidRPr="003F54C0" w:rsidRDefault="0058275B" w:rsidP="0058275B">
      <w:pPr>
        <w:pStyle w:val="af5"/>
        <w:ind w:left="0"/>
        <w:rPr>
          <w:rFonts w:ascii="Times New Roman" w:hAnsi="Times New Roman"/>
          <w:color w:val="FF0000"/>
          <w:sz w:val="20"/>
          <w:szCs w:val="20"/>
        </w:rPr>
      </w:pPr>
    </w:p>
    <w:p w:rsidR="0058275B" w:rsidRPr="00416338" w:rsidRDefault="0058275B" w:rsidP="0058275B">
      <w:pPr>
        <w:pStyle w:val="af5"/>
        <w:ind w:left="0"/>
        <w:rPr>
          <w:rFonts w:ascii="Times New Roman" w:hAnsi="Times New Roman"/>
          <w:b/>
          <w:sz w:val="20"/>
          <w:szCs w:val="20"/>
        </w:rPr>
      </w:pPr>
      <w:r w:rsidRPr="00416338">
        <w:rPr>
          <w:rFonts w:ascii="Times New Roman" w:hAnsi="Times New Roman"/>
          <w:b/>
          <w:sz w:val="20"/>
          <w:szCs w:val="20"/>
        </w:rPr>
        <w:t>6. Условия оплаты:</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 xml:space="preserve">6.1. </w:t>
      </w:r>
      <w:proofErr w:type="gramStart"/>
      <w:r w:rsidRPr="00CE3F61">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E3F61">
        <w:rPr>
          <w:rFonts w:ascii="Times New Roman" w:eastAsia="Times New Roman" w:hAnsi="Times New Roman"/>
          <w:sz w:val="20"/>
          <w:szCs w:val="20"/>
          <w:lang w:eastAsia="ru-RU"/>
        </w:rPr>
        <w:t xml:space="preserve"> Договора о банковском сопровождении.</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 xml:space="preserve">6.2.  Условия оплаты товара: </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 xml:space="preserve">- аванс в размере 80% после подписания договора, соответствующей спецификации,  получения от Поставщика счета со ссылкой на номер и дату договора, </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 xml:space="preserve">- окончательная оплата 20%,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 </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6.3. Товар считается оплаченным с момента списания денежных средств с отдельного счета Покупателя.</w:t>
      </w:r>
    </w:p>
    <w:p w:rsidR="0058275B" w:rsidRPr="00CE3F61"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p>
    <w:p w:rsidR="0058275B" w:rsidRDefault="0058275B" w:rsidP="0058275B">
      <w:pPr>
        <w:pStyle w:val="af5"/>
        <w:spacing w:line="240" w:lineRule="auto"/>
        <w:ind w:left="0"/>
        <w:jc w:val="both"/>
        <w:rPr>
          <w:rFonts w:ascii="Times New Roman" w:eastAsia="Times New Roman" w:hAnsi="Times New Roman"/>
          <w:sz w:val="20"/>
          <w:szCs w:val="20"/>
          <w:lang w:eastAsia="ru-RU"/>
        </w:rPr>
      </w:pPr>
      <w:r w:rsidRPr="00CE3F61">
        <w:rPr>
          <w:rFonts w:ascii="Times New Roman" w:eastAsia="Times New Roman" w:hAnsi="Times New Roman"/>
          <w:sz w:val="20"/>
          <w:szCs w:val="20"/>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8275B" w:rsidRDefault="0058275B" w:rsidP="0058275B">
      <w:pPr>
        <w:spacing w:line="240" w:lineRule="auto"/>
        <w:contextualSpacing/>
        <w:jc w:val="both"/>
        <w:rPr>
          <w:rFonts w:ascii="Times New Roman" w:hAnsi="Times New Roman" w:cs="Times New Roman"/>
          <w:sz w:val="20"/>
          <w:szCs w:val="20"/>
        </w:rPr>
      </w:pPr>
    </w:p>
    <w:p w:rsidR="0058275B" w:rsidRPr="00416338" w:rsidRDefault="0058275B" w:rsidP="0058275B">
      <w:pPr>
        <w:spacing w:after="0" w:line="240" w:lineRule="auto"/>
        <w:rPr>
          <w:rFonts w:ascii="Times New Roman" w:hAnsi="Times New Roman"/>
          <w:sz w:val="20"/>
          <w:szCs w:val="20"/>
        </w:rPr>
      </w:pPr>
      <w:r>
        <w:rPr>
          <w:rFonts w:ascii="Times New Roman" w:hAnsi="Times New Roman"/>
          <w:b/>
          <w:sz w:val="20"/>
          <w:szCs w:val="20"/>
        </w:rPr>
        <w:t>7</w:t>
      </w:r>
      <w:r w:rsidRPr="00416338">
        <w:rPr>
          <w:rFonts w:ascii="Times New Roman" w:hAnsi="Times New Roman"/>
          <w:b/>
          <w:sz w:val="20"/>
          <w:szCs w:val="20"/>
        </w:rPr>
        <w:t>. Обеспечение договора</w:t>
      </w:r>
      <w:r w:rsidRPr="00416338">
        <w:rPr>
          <w:rFonts w:ascii="Times New Roman" w:hAnsi="Times New Roman"/>
          <w:sz w:val="20"/>
          <w:szCs w:val="20"/>
        </w:rPr>
        <w:t xml:space="preserve"> (</w:t>
      </w:r>
      <w:r w:rsidRPr="00A273DB">
        <w:rPr>
          <w:rFonts w:ascii="Times New Roman" w:hAnsi="Times New Roman"/>
          <w:sz w:val="20"/>
          <w:szCs w:val="20"/>
        </w:rPr>
        <w:t>применяется для обеспечения исполнения обязательств по возврату аванса к поставщикам</w:t>
      </w:r>
      <w:r w:rsidRPr="00416338">
        <w:rPr>
          <w:rFonts w:ascii="Times New Roman" w:hAnsi="Times New Roman"/>
          <w:sz w:val="20"/>
          <w:szCs w:val="20"/>
        </w:rPr>
        <w:t>)</w:t>
      </w:r>
      <w:r w:rsidRPr="00416338">
        <w:rPr>
          <w:rFonts w:ascii="Times New Roman" w:hAnsi="Times New Roman"/>
          <w:b/>
          <w:sz w:val="20"/>
          <w:szCs w:val="20"/>
        </w:rPr>
        <w:t>:</w:t>
      </w:r>
    </w:p>
    <w:p w:rsidR="0058275B" w:rsidRPr="00A273D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 xml:space="preserve">.1.Поставщик обязуется предоставить в срок не позднее 15 (пятнадцати) календарных дней </w:t>
      </w:r>
      <w:proofErr w:type="gramStart"/>
      <w:r w:rsidRPr="00A273DB">
        <w:rPr>
          <w:rFonts w:ascii="Times New Roman" w:hAnsi="Times New Roman" w:cs="Times New Roman"/>
          <w:sz w:val="20"/>
          <w:szCs w:val="20"/>
        </w:rPr>
        <w:t>с даты заключения</w:t>
      </w:r>
      <w:proofErr w:type="gramEnd"/>
      <w:r w:rsidRPr="00A273DB">
        <w:rPr>
          <w:rFonts w:ascii="Times New Roman" w:hAnsi="Times New Roman" w:cs="Times New Roman"/>
          <w:sz w:val="20"/>
          <w:szCs w:val="2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8275B" w:rsidRPr="00A273D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.2.Поставщик несет все расходы по получению обеспечения исполнения обязательства по Договору.</w:t>
      </w:r>
    </w:p>
    <w:p w:rsidR="0058275B" w:rsidRPr="00A273D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.3.Размер обеспечения исполнения обязательства по Договору равен сумме всех выплачиваемых по Договору авансов.</w:t>
      </w:r>
    </w:p>
    <w:p w:rsidR="0058275B" w:rsidRPr="00A273D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.4.Срок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58275B" w:rsidRPr="00A273D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7</w:t>
      </w:r>
      <w:r w:rsidRPr="00A273DB">
        <w:rPr>
          <w:rFonts w:ascii="Times New Roman" w:hAnsi="Times New Roman" w:cs="Times New Roman"/>
          <w:sz w:val="20"/>
          <w:szCs w:val="20"/>
        </w:rPr>
        <w:t>.5.По усмотрению Покупателя, в целях исполнения Договора, могут применяться иные, не запрещённые действующим законодательством РФ способы обеспечения Договора.</w:t>
      </w:r>
    </w:p>
    <w:p w:rsidR="00930BE7" w:rsidRPr="0058275B" w:rsidRDefault="0058275B" w:rsidP="0058275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58275B">
        <w:rPr>
          <w:rFonts w:ascii="Times New Roman" w:hAnsi="Times New Roman" w:cs="Times New Roman"/>
          <w:sz w:val="20"/>
          <w:szCs w:val="20"/>
        </w:rPr>
        <w:t>.6. Решение о предоставлении банковской гарантии Покупателю Поставщиком принимается на заседании комиссии  по рассмотрению коммерческих предложений.</w:t>
      </w:r>
    </w:p>
    <w:p w:rsidR="00930BE7" w:rsidRPr="0058275B" w:rsidRDefault="00930BE7" w:rsidP="0058275B">
      <w:pPr>
        <w:spacing w:line="240" w:lineRule="auto"/>
        <w:contextualSpacing/>
        <w:jc w:val="both"/>
        <w:rPr>
          <w:rFonts w:ascii="Times New Roman" w:hAnsi="Times New Roman" w:cs="Times New Roman"/>
          <w:sz w:val="20"/>
          <w:szCs w:val="20"/>
        </w:rPr>
      </w:pPr>
    </w:p>
    <w:p w:rsidR="00930BE7" w:rsidRPr="0058275B" w:rsidRDefault="00930BE7" w:rsidP="0058275B">
      <w:pPr>
        <w:spacing w:line="240" w:lineRule="auto"/>
        <w:contextualSpacing/>
        <w:jc w:val="both"/>
        <w:rPr>
          <w:rFonts w:ascii="Times New Roman"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8275B" w:rsidRDefault="0058275B"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8275B" w:rsidRDefault="0058275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55F"/>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275B"/>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0439-B42C-4480-A39E-8D714B37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5115</Words>
  <Characters>29161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2023-04-19T05:20:00Z</dcterms:modified>
</cp:coreProperties>
</file>