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47" w:rsidRDefault="006D2B65">
      <w:pPr>
        <w:pStyle w:val="af3"/>
        <w:spacing w:before="5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Техническое задание</w:t>
      </w:r>
    </w:p>
    <w:p w:rsidR="004B7147" w:rsidRDefault="004B7147">
      <w:pPr>
        <w:pStyle w:val="af3"/>
        <w:spacing w:before="5"/>
        <w:ind w:left="0" w:firstLine="0"/>
        <w:jc w:val="center"/>
        <w:rPr>
          <w:b/>
        </w:rPr>
      </w:pPr>
    </w:p>
    <w:p w:rsidR="004B7147" w:rsidRDefault="006D2B65">
      <w:pPr>
        <w:pStyle w:val="1"/>
        <w:numPr>
          <w:ilvl w:val="0"/>
          <w:numId w:val="1"/>
        </w:numPr>
        <w:tabs>
          <w:tab w:val="left" w:pos="347"/>
        </w:tabs>
        <w:spacing w:before="4" w:after="4" w:line="360" w:lineRule="auto"/>
        <w:ind w:left="142" w:right="57"/>
        <w:jc w:val="both"/>
      </w:pPr>
      <w:r>
        <w:t>Предмет</w:t>
      </w:r>
      <w:r>
        <w:rPr>
          <w:spacing w:val="-1"/>
        </w:rPr>
        <w:t xml:space="preserve"> </w:t>
      </w:r>
      <w:r>
        <w:t>закупки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Поставка </w:t>
      </w:r>
      <w:r>
        <w:rPr>
          <w:color w:val="000000"/>
          <w:sz w:val="22"/>
          <w:szCs w:val="22"/>
        </w:rPr>
        <w:t xml:space="preserve">офисной бумаги, канцелярских, социально-бытовых товаров и продуктов питания (далее – Товар) по заявкам </w:t>
      </w:r>
      <w:r w:rsidR="00A6245B">
        <w:rPr>
          <w:color w:val="000000"/>
          <w:sz w:val="22"/>
          <w:szCs w:val="22"/>
        </w:rPr>
        <w:t xml:space="preserve">АО РНПК (далее - </w:t>
      </w:r>
      <w:r>
        <w:rPr>
          <w:color w:val="000000"/>
          <w:sz w:val="22"/>
          <w:szCs w:val="22"/>
        </w:rPr>
        <w:t>Покупател</w:t>
      </w:r>
      <w:r w:rsidR="00A6245B">
        <w:rPr>
          <w:color w:val="000000"/>
          <w:sz w:val="22"/>
          <w:szCs w:val="22"/>
        </w:rPr>
        <w:t>ь)</w:t>
      </w:r>
      <w:r>
        <w:rPr>
          <w:color w:val="000000"/>
          <w:sz w:val="22"/>
          <w:szCs w:val="22"/>
        </w:rPr>
        <w:t>.</w:t>
      </w:r>
    </w:p>
    <w:p w:rsidR="004B7147" w:rsidRDefault="006D2B65">
      <w:pPr>
        <w:pStyle w:val="1"/>
        <w:numPr>
          <w:ilvl w:val="0"/>
          <w:numId w:val="1"/>
        </w:numPr>
        <w:tabs>
          <w:tab w:val="left" w:pos="347"/>
        </w:tabs>
        <w:spacing w:before="4" w:after="4" w:line="360" w:lineRule="auto"/>
        <w:ind w:left="142" w:right="57"/>
        <w:jc w:val="both"/>
      </w:pPr>
      <w:r>
        <w:t>Перечень</w:t>
      </w:r>
      <w:r>
        <w:rPr>
          <w:spacing w:val="-6"/>
        </w:rPr>
        <w:t xml:space="preserve"> </w:t>
      </w:r>
      <w:r>
        <w:t>Товара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Основные позиции Товара для заказа Покупателем и ориентировочный объем заказа указаны в Спецификации (Приложение 1).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Количество Товара является расчетным. При заказе Товара в меньшем объеме и/или на меньшую стоимость Поставщик не вправе требовать от Покупателя каких-либо компенсаций убытков, возмещений и прочих имущественных представлений.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Покупатель имеет право заказывать Товар</w:t>
      </w:r>
      <w:r w:rsidR="00A6245B">
        <w:rPr>
          <w:sz w:val="22"/>
          <w:szCs w:val="22"/>
        </w:rPr>
        <w:t xml:space="preserve"> из доступного ассортимента Поставщика</w:t>
      </w:r>
      <w:r>
        <w:rPr>
          <w:sz w:val="22"/>
          <w:szCs w:val="22"/>
        </w:rPr>
        <w:t xml:space="preserve">, не указанный в Спецификации, на условиях, указанных в разделе 5. </w:t>
      </w:r>
    </w:p>
    <w:p w:rsidR="004B7147" w:rsidRDefault="006D2B65">
      <w:pPr>
        <w:pStyle w:val="1"/>
        <w:numPr>
          <w:ilvl w:val="0"/>
          <w:numId w:val="1"/>
        </w:numPr>
        <w:tabs>
          <w:tab w:val="left" w:pos="347"/>
        </w:tabs>
        <w:spacing w:before="4" w:after="4" w:line="360" w:lineRule="auto"/>
        <w:ind w:left="142" w:right="57"/>
        <w:jc w:val="both"/>
      </w:pPr>
      <w:r>
        <w:t>Требования к товару</w:t>
      </w:r>
    </w:p>
    <w:p w:rsidR="00A6245B" w:rsidRPr="00D560E1" w:rsidRDefault="00D560E1" w:rsidP="00D560E1">
      <w:pPr>
        <w:pStyle w:val="aff1"/>
        <w:numPr>
          <w:ilvl w:val="1"/>
          <w:numId w:val="1"/>
        </w:numPr>
        <w:spacing w:before="4" w:after="4" w:line="360" w:lineRule="auto"/>
        <w:ind w:left="142" w:firstLine="0"/>
        <w:rPr>
          <w:sz w:val="22"/>
          <w:szCs w:val="22"/>
        </w:rPr>
      </w:pPr>
      <w:r w:rsidRPr="00D560E1">
        <w:rPr>
          <w:sz w:val="22"/>
          <w:szCs w:val="22"/>
        </w:rPr>
        <w:t>Поставляемы</w:t>
      </w:r>
      <w:r>
        <w:rPr>
          <w:sz w:val="22"/>
          <w:szCs w:val="22"/>
        </w:rPr>
        <w:t>й</w:t>
      </w:r>
      <w:r w:rsidRPr="00D560E1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Pr="00D560E1">
        <w:rPr>
          <w:sz w:val="22"/>
          <w:szCs w:val="22"/>
        </w:rPr>
        <w:t xml:space="preserve"> долж</w:t>
      </w:r>
      <w:r>
        <w:rPr>
          <w:sz w:val="22"/>
          <w:szCs w:val="22"/>
        </w:rPr>
        <w:t xml:space="preserve">ен </w:t>
      </w:r>
      <w:r w:rsidRPr="00D560E1">
        <w:rPr>
          <w:sz w:val="22"/>
          <w:szCs w:val="22"/>
        </w:rPr>
        <w:t>быть новым (не бывшим в употреблении, не прошедшим ремонт, в том числе восстановление потребительских свойств), не являться выставочным образц</w:t>
      </w:r>
      <w:r>
        <w:rPr>
          <w:sz w:val="22"/>
          <w:szCs w:val="22"/>
        </w:rPr>
        <w:t>ом</w:t>
      </w:r>
      <w:r w:rsidRPr="00D560E1">
        <w:rPr>
          <w:sz w:val="22"/>
          <w:szCs w:val="22"/>
        </w:rPr>
        <w:t xml:space="preserve">, свободным от прав третьих лиц, </w:t>
      </w:r>
      <w:r>
        <w:rPr>
          <w:sz w:val="22"/>
          <w:szCs w:val="22"/>
        </w:rPr>
        <w:t xml:space="preserve">не иметь </w:t>
      </w:r>
      <w:r w:rsidRPr="00D560E1">
        <w:rPr>
          <w:sz w:val="22"/>
          <w:szCs w:val="22"/>
        </w:rPr>
        <w:t>потёртостей, вмятин и следов эксплуатации</w:t>
      </w:r>
      <w:r w:rsidR="00A6245B" w:rsidRPr="00D560E1">
        <w:rPr>
          <w:sz w:val="22"/>
          <w:szCs w:val="22"/>
        </w:rPr>
        <w:t xml:space="preserve">, иметь остаточный срок годности не менее 1 года 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Весь поставляемый Товар </w:t>
      </w:r>
      <w:r w:rsidR="00A6245B">
        <w:rPr>
          <w:sz w:val="22"/>
          <w:szCs w:val="22"/>
        </w:rPr>
        <w:t xml:space="preserve">категории «продукты питания» </w:t>
      </w:r>
      <w:r>
        <w:rPr>
          <w:sz w:val="22"/>
          <w:szCs w:val="22"/>
        </w:rPr>
        <w:t>должен иметь информацию о производителе, с указанием юридического лица, даты производства Товара, срока хранения и предельного срока годности.</w:t>
      </w:r>
    </w:p>
    <w:p w:rsidR="00D560E1" w:rsidRPr="00D560E1" w:rsidRDefault="00D560E1" w:rsidP="00D560E1">
      <w:pPr>
        <w:pStyle w:val="aff1"/>
        <w:numPr>
          <w:ilvl w:val="1"/>
          <w:numId w:val="1"/>
        </w:numPr>
        <w:spacing w:before="4" w:after="4" w:line="360" w:lineRule="auto"/>
        <w:ind w:left="142" w:firstLine="0"/>
        <w:rPr>
          <w:sz w:val="22"/>
          <w:szCs w:val="22"/>
        </w:rPr>
      </w:pPr>
      <w:r w:rsidRPr="00D560E1">
        <w:rPr>
          <w:sz w:val="22"/>
          <w:szCs w:val="22"/>
        </w:rPr>
        <w:t>Качество поставляемого Товара должно соответствовать условиям Договора, техническим регламентам Таможенного союза (ТР ТС), действующим в Российской Федерации стандартам (ГОСТ, ТУ), а также соответствовать иным требованиям, указанным в технических,</w:t>
      </w:r>
      <w:r w:rsidRPr="00445C0B">
        <w:rPr>
          <w:sz w:val="22"/>
          <w:szCs w:val="22"/>
        </w:rPr>
        <w:t xml:space="preserve"> </w:t>
      </w:r>
      <w:r w:rsidRPr="00307A8C">
        <w:rPr>
          <w:sz w:val="22"/>
          <w:szCs w:val="22"/>
        </w:rPr>
        <w:t>функциональных и качественных</w:t>
      </w:r>
      <w:r w:rsidRPr="00D560E1">
        <w:rPr>
          <w:sz w:val="22"/>
          <w:szCs w:val="22"/>
        </w:rPr>
        <w:t xml:space="preserve"> характеристиках (потребительских свойствах) товаров</w:t>
      </w:r>
      <w:r>
        <w:rPr>
          <w:sz w:val="22"/>
          <w:szCs w:val="22"/>
        </w:rPr>
        <w:t>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Упаковка Товара должна отвечать требованиям безопасности, иметь необходимые маркировки и наклейки, исключать механические повреждения и деформацию товара во время транспортировки и отгрузки, а также обеспечивать защиту от проникновения влаги.</w:t>
      </w:r>
    </w:p>
    <w:p w:rsidR="004B7147" w:rsidRPr="00D560E1" w:rsidRDefault="00D560E1" w:rsidP="00D560E1">
      <w:pPr>
        <w:pStyle w:val="aff1"/>
        <w:numPr>
          <w:ilvl w:val="1"/>
          <w:numId w:val="1"/>
        </w:numPr>
        <w:spacing w:before="4" w:after="4" w:line="360" w:lineRule="auto"/>
        <w:ind w:left="142" w:firstLine="0"/>
        <w:rPr>
          <w:sz w:val="22"/>
          <w:szCs w:val="22"/>
        </w:rPr>
      </w:pPr>
      <w:r w:rsidRPr="00D560E1">
        <w:rPr>
          <w:sz w:val="22"/>
          <w:szCs w:val="22"/>
        </w:rPr>
        <w:t xml:space="preserve">Упаковка </w:t>
      </w:r>
      <w:r>
        <w:rPr>
          <w:sz w:val="22"/>
          <w:szCs w:val="22"/>
        </w:rPr>
        <w:t xml:space="preserve">Товара </w:t>
      </w:r>
      <w:r w:rsidRPr="00D560E1">
        <w:rPr>
          <w:sz w:val="22"/>
          <w:szCs w:val="22"/>
        </w:rPr>
        <w:t>не должна содержать вскрытий,</w:t>
      </w:r>
      <w:r>
        <w:rPr>
          <w:sz w:val="22"/>
          <w:szCs w:val="22"/>
        </w:rPr>
        <w:t xml:space="preserve"> </w:t>
      </w:r>
      <w:r w:rsidRPr="00D560E1">
        <w:rPr>
          <w:sz w:val="22"/>
          <w:szCs w:val="22"/>
        </w:rPr>
        <w:t>вмятин, порезов</w:t>
      </w:r>
      <w:r w:rsidR="006D2B65" w:rsidRPr="00D560E1">
        <w:rPr>
          <w:sz w:val="22"/>
          <w:szCs w:val="22"/>
        </w:rPr>
        <w:t>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B7147" w:rsidRDefault="006D2B65">
      <w:pPr>
        <w:pStyle w:val="1"/>
        <w:numPr>
          <w:ilvl w:val="0"/>
          <w:numId w:val="1"/>
        </w:numPr>
        <w:tabs>
          <w:tab w:val="left" w:pos="1235"/>
        </w:tabs>
        <w:spacing w:before="4" w:after="4" w:line="360" w:lineRule="auto"/>
        <w:ind w:left="142" w:right="57"/>
        <w:jc w:val="both"/>
      </w:pPr>
      <w:r>
        <w:t>Предложения по поставке</w:t>
      </w:r>
      <w:r>
        <w:rPr>
          <w:spacing w:val="-10"/>
        </w:rPr>
        <w:t xml:space="preserve"> </w:t>
      </w:r>
      <w:r>
        <w:t>аналогов</w:t>
      </w:r>
    </w:p>
    <w:p w:rsidR="004B7147" w:rsidRDefault="006D2B65">
      <w:pPr>
        <w:pStyle w:val="af3"/>
        <w:tabs>
          <w:tab w:val="left" w:pos="1234"/>
        </w:tabs>
        <w:spacing w:before="4" w:after="4" w:line="360" w:lineRule="auto"/>
        <w:ind w:left="142" w:right="57" w:firstLine="0"/>
        <w:jc w:val="both"/>
      </w:pPr>
      <w:r>
        <w:t>4.1 Допускается поставка аналогов Товаров, указанных в Спецификации, той же ценовой категории с аналогичными или улучшенными потребительскими свойствами.</w:t>
      </w:r>
    </w:p>
    <w:p w:rsidR="004B7147" w:rsidRDefault="006D2B65">
      <w:pPr>
        <w:pStyle w:val="aff1"/>
        <w:numPr>
          <w:ilvl w:val="1"/>
          <w:numId w:val="2"/>
        </w:numPr>
        <w:tabs>
          <w:tab w:val="left" w:pos="669"/>
        </w:tabs>
        <w:spacing w:before="4" w:after="4" w:line="360" w:lineRule="auto"/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Требования к аналогам Товаров аналогичные изложенным в разделе 3.</w:t>
      </w:r>
    </w:p>
    <w:p w:rsidR="004B7147" w:rsidRDefault="006D2B65">
      <w:pPr>
        <w:pStyle w:val="1"/>
        <w:numPr>
          <w:ilvl w:val="0"/>
          <w:numId w:val="1"/>
        </w:numPr>
        <w:tabs>
          <w:tab w:val="left" w:pos="426"/>
        </w:tabs>
        <w:spacing w:before="4" w:after="4" w:line="360" w:lineRule="auto"/>
        <w:ind w:left="142" w:right="57"/>
        <w:jc w:val="both"/>
      </w:pPr>
      <w:r>
        <w:t>Условия поставки и сотрудничества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Адрес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Товара: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Москва,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улица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Гашека,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дом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6,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БЦ «Дукат </w:t>
      </w:r>
      <w:proofErr w:type="spellStart"/>
      <w:r>
        <w:rPr>
          <w:sz w:val="22"/>
          <w:szCs w:val="22"/>
        </w:rPr>
        <w:t>Плейс</w:t>
      </w:r>
      <w:proofErr w:type="spellEnd"/>
      <w:r>
        <w:rPr>
          <w:sz w:val="22"/>
          <w:szCs w:val="22"/>
        </w:rPr>
        <w:t xml:space="preserve"> III», 13 этаж, 2 этаж, офис АО РНПК.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Предложенная Участником закупки цена единицы Товара по позициям, указанным в </w:t>
      </w:r>
      <w:r>
        <w:rPr>
          <w:sz w:val="22"/>
          <w:szCs w:val="22"/>
        </w:rPr>
        <w:lastRenderedPageBreak/>
        <w:t>Спецификации, является твердой, окончательной, устанавливается на 12 месяцев и изменению не подлежит.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Цена включает в себя все расходы, связанные с погрузкой-разгрузкой, доставкой, включая подъем на 2 этаж и 13 этаж</w:t>
      </w:r>
      <w:r w:rsidR="008D1CC7">
        <w:rPr>
          <w:sz w:val="22"/>
          <w:szCs w:val="22"/>
        </w:rPr>
        <w:t xml:space="preserve"> по адресу, указанн</w:t>
      </w:r>
      <w:r w:rsidR="00307A8C">
        <w:rPr>
          <w:sz w:val="22"/>
          <w:szCs w:val="22"/>
        </w:rPr>
        <w:t>о</w:t>
      </w:r>
      <w:r w:rsidR="008D1CC7">
        <w:rPr>
          <w:sz w:val="22"/>
          <w:szCs w:val="22"/>
        </w:rPr>
        <w:t>му в п.5.1.</w:t>
      </w:r>
      <w:r>
        <w:rPr>
          <w:sz w:val="22"/>
          <w:szCs w:val="22"/>
        </w:rPr>
        <w:t>, с подтверждением качества и безопасности Товара, налоговых, страховых платежей, уплату таможенных пошлин и других обязательных платежей.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При заказе Товара, не указанного в Спецификации к Договору, цена определяется по действующему прайсу Поставщика (возможность предоставления скидки согласовывается сторонами дополнительно). 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Поставка Товара осуществляется на основании </w:t>
      </w:r>
      <w:r w:rsidR="008D1CC7">
        <w:rPr>
          <w:sz w:val="22"/>
          <w:szCs w:val="22"/>
        </w:rPr>
        <w:t xml:space="preserve">надлежаще оформленной </w:t>
      </w:r>
      <w:r>
        <w:rPr>
          <w:sz w:val="22"/>
          <w:szCs w:val="22"/>
        </w:rPr>
        <w:t>заявки</w:t>
      </w:r>
      <w:r>
        <w:rPr>
          <w:sz w:val="22"/>
        </w:rPr>
        <w:t xml:space="preserve"> по предусмотренной договором поставки форме</w:t>
      </w:r>
      <w:r>
        <w:rPr>
          <w:sz w:val="22"/>
          <w:szCs w:val="22"/>
        </w:rPr>
        <w:t xml:space="preserve">, направляемой Покупателем Поставщику. 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</w:rPr>
        <w:t>Периодичность поставок партий Товара определяется Покупателем самостоятельно.</w:t>
      </w:r>
    </w:p>
    <w:p w:rsidR="008D1CC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Получение заявки </w:t>
      </w:r>
      <w:r w:rsidR="008D1CC7">
        <w:rPr>
          <w:sz w:val="22"/>
          <w:szCs w:val="22"/>
        </w:rPr>
        <w:t xml:space="preserve">и возможность её исполнения </w:t>
      </w:r>
      <w:r>
        <w:rPr>
          <w:sz w:val="22"/>
          <w:szCs w:val="22"/>
        </w:rPr>
        <w:t xml:space="preserve">подтверждается Поставщиком в течение 1 (Одного) рабочего дня. 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Поставка Товара по Заявке осуществляется в течении 10 рабочих дней с момента подтверждения Поставщик</w:t>
      </w:r>
      <w:r w:rsidR="008D1CC7">
        <w:rPr>
          <w:sz w:val="22"/>
          <w:szCs w:val="22"/>
        </w:rPr>
        <w:t>а</w:t>
      </w:r>
      <w:r>
        <w:rPr>
          <w:sz w:val="22"/>
          <w:szCs w:val="22"/>
        </w:rPr>
        <w:t xml:space="preserve"> силами и за счет Поставщика, страхование перевозки включено в цену Товара.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</w:rPr>
        <w:t xml:space="preserve">Размещение Покупателем заявки на поставку Товара и </w:t>
      </w:r>
      <w:r w:rsidR="008D1CC7">
        <w:rPr>
          <w:sz w:val="22"/>
        </w:rPr>
        <w:t>подтверждение (</w:t>
      </w:r>
      <w:r>
        <w:rPr>
          <w:sz w:val="22"/>
        </w:rPr>
        <w:t>согласование</w:t>
      </w:r>
      <w:r w:rsidR="008D1CC7">
        <w:rPr>
          <w:sz w:val="22"/>
        </w:rPr>
        <w:t>)</w:t>
      </w:r>
      <w:r>
        <w:rPr>
          <w:sz w:val="22"/>
        </w:rPr>
        <w:t xml:space="preserve"> заявки Поставщиком осуществляется с использованием электронной почты.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Поставка Товара на территорию Покупателя </w:t>
      </w:r>
      <w:r w:rsidR="008D1C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>исключительно в период рабочего времени Покупателя: понедельник – четверг, с 9:00 до 17:30, пятница с 09.00 до 16.00 по московскому времени. Время доставки Товара и, при необходимости, объемы каждой партии Товара должны быть согласованы с уполномоченными представителями Покупателя</w:t>
      </w:r>
      <w:r w:rsidR="008D1CC7">
        <w:rPr>
          <w:sz w:val="22"/>
          <w:szCs w:val="22"/>
        </w:rPr>
        <w:t xml:space="preserve"> для чего</w:t>
      </w:r>
      <w:r>
        <w:rPr>
          <w:sz w:val="22"/>
          <w:szCs w:val="22"/>
        </w:rPr>
        <w:t xml:space="preserve"> Поставщик за 1 (один) рабочий день до поставки Товара сообщает Покупателю данные о количестве мест и сопровождающих лиц, необходимые для оформления пропуска на объект Покупателя.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Вместе с Товаром Поставщик передает Покупателю: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счет в 1 (Одном) экземпляре,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товарную накладную (унифицированная форма ТОРГ-12) в 2 (Двух) экземплярах и счет – фактура или УПД в 2 (Двух) экземплярах;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акт о сдаче-приемке товара в 2 (Двух) экземплярах.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Приемка Товара осуществляется Покупателем по факту завершения доставки и разгрузки Товара Поставщиком посредством проверки внешнего вида Товара (отсутствие видимых повреждений поставленного Товара и/или упаковки) при соответствии поставленного Товара комплектности, указанной в товаросопроводительной документации, прилагаемой к поставленному Товару, и Заявке. По завершении поставки Товара Сторонами подписывается товарная накладная (унифицированная форма ТОРГ-12) или УПД. При этом подписание Покупателем товарной накладной (унифицированная форма ТОРГ-12) или УПД свидетельствует только о принятии указанного количества </w:t>
      </w:r>
      <w:r>
        <w:rPr>
          <w:sz w:val="22"/>
          <w:szCs w:val="22"/>
        </w:rPr>
        <w:lastRenderedPageBreak/>
        <w:t>тарных мест и не означает приемку Товара по качеству, ассортименту и комплектности.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Осмотр и проверка Товара на соответствие условиям Заявки по качеству, ассортименту и комплектности производится Покупателем в течение 10 (Десяти) рабочих дней с момента поставки Товара. Поставка Товара Поставщиком считается выполненной в полном объеме после подписания Сторонами Акта о сдаче-приемке товара. Один экземпляр Акта о сдаче-приемке товара возвращается Заказчиком Поставщику. Поставщик должен обеспечить предоставление сертификатов качества при необходимости и по запросу Покупателя.</w:t>
      </w:r>
    </w:p>
    <w:p w:rsidR="00445C0B" w:rsidRDefault="00445C0B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 w:rsidRPr="00445C0B">
        <w:rPr>
          <w:sz w:val="22"/>
          <w:szCs w:val="22"/>
        </w:rPr>
        <w:t xml:space="preserve">Если при приемке Товара </w:t>
      </w:r>
      <w:r>
        <w:rPr>
          <w:sz w:val="22"/>
          <w:szCs w:val="22"/>
        </w:rPr>
        <w:t>Покупателем</w:t>
      </w:r>
      <w:r w:rsidRPr="00445C0B">
        <w:rPr>
          <w:sz w:val="22"/>
          <w:szCs w:val="22"/>
        </w:rPr>
        <w:t xml:space="preserve"> выявлена недостача, некачественный или не соответствующий сопроводительным документам Товар, отсутствие или ненадлежащим образом оформленные документы, </w:t>
      </w:r>
      <w:r>
        <w:rPr>
          <w:sz w:val="22"/>
          <w:szCs w:val="22"/>
        </w:rPr>
        <w:t xml:space="preserve">Покупатель </w:t>
      </w:r>
      <w:r w:rsidRPr="00445C0B">
        <w:rPr>
          <w:sz w:val="22"/>
          <w:szCs w:val="22"/>
        </w:rPr>
        <w:t>вправе отказаться от приемки Товара</w:t>
      </w:r>
      <w:r>
        <w:rPr>
          <w:sz w:val="22"/>
          <w:szCs w:val="22"/>
        </w:rPr>
        <w:t>.</w:t>
      </w:r>
    </w:p>
    <w:p w:rsidR="00445C0B" w:rsidRDefault="00445C0B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 w:rsidRPr="00445C0B">
        <w:rPr>
          <w:sz w:val="22"/>
          <w:szCs w:val="22"/>
        </w:rPr>
        <w:t>Поставщик обязан поставить недопоставленный Товар в течение следующего рабочего дня с момента получения уведомления Заказчика о недостаче Товара</w:t>
      </w:r>
      <w:r>
        <w:rPr>
          <w:sz w:val="22"/>
          <w:szCs w:val="22"/>
        </w:rPr>
        <w:t>.</w:t>
      </w:r>
    </w:p>
    <w:p w:rsidR="00445C0B" w:rsidRDefault="00445C0B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 w:rsidRPr="00445C0B">
        <w:rPr>
          <w:sz w:val="22"/>
          <w:szCs w:val="22"/>
        </w:rPr>
        <w:t xml:space="preserve">Поставщик обязан за свой счёт произвести замену некачественного товара на качественный в течение 2-х рабочих дней с момента получения уведомления </w:t>
      </w:r>
      <w:r>
        <w:rPr>
          <w:sz w:val="22"/>
          <w:szCs w:val="22"/>
        </w:rPr>
        <w:t>Покупателя</w:t>
      </w:r>
      <w:r w:rsidRPr="00445C0B">
        <w:rPr>
          <w:sz w:val="22"/>
          <w:szCs w:val="22"/>
        </w:rPr>
        <w:t xml:space="preserve"> о скрытых недостатках поставленного Товара</w:t>
      </w:r>
      <w:r>
        <w:rPr>
          <w:sz w:val="22"/>
          <w:szCs w:val="22"/>
        </w:rPr>
        <w:t>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Поставщик предоставляет гарантии на товар в соответствии с гарантийным сроком и условиями, определенными фирмой производителем.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Форма сотрудничества – Договор со сроком действия 1 год.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Форма оплаты – безналичный расчет, 100% постоплата. </w:t>
      </w:r>
    </w:p>
    <w:p w:rsidR="004B7147" w:rsidRDefault="006D2B65">
      <w:pPr>
        <w:pStyle w:val="aff1"/>
        <w:numPr>
          <w:ilvl w:val="1"/>
          <w:numId w:val="1"/>
        </w:numPr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Оплата Товара Покупателем производится в течение 10 (Десяти) рабочих дней с даты подписания Сторонами ТОРГ-12 или УПД на основании выставленного Поставщиком счета.</w:t>
      </w:r>
    </w:p>
    <w:p w:rsidR="004B7147" w:rsidRDefault="004B7147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</w:p>
    <w:p w:rsidR="004B7147" w:rsidRDefault="006D2B65">
      <w:pPr>
        <w:pStyle w:val="aff1"/>
        <w:spacing w:before="4" w:after="4" w:line="360" w:lineRule="auto"/>
        <w:ind w:left="142" w:right="57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6. Требования к Участнику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6.1 Должен обладать гражданской правоспособностью в полном объеме для заключения и исполнения договора по результатам закупки, в том числе быть зарегистрированным в качестве юридического лица в установленном в Российской Федерации порядке (для участников - российских юридических лиц).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6.2 Не 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приостановлена.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6.3 Отсутствие невыполненных обязательств перед третьими лицами.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6.4 Наличие сайта с каталогом </w:t>
      </w:r>
      <w:r w:rsidR="00445C0B">
        <w:rPr>
          <w:sz w:val="22"/>
          <w:szCs w:val="22"/>
        </w:rPr>
        <w:t>товаров, доступных к заказу, и покрывающим не менее 8</w:t>
      </w:r>
      <w:r w:rsidR="00775F67">
        <w:rPr>
          <w:sz w:val="22"/>
          <w:szCs w:val="22"/>
        </w:rPr>
        <w:t>5</w:t>
      </w:r>
      <w:r w:rsidR="00445C0B">
        <w:rPr>
          <w:sz w:val="22"/>
          <w:szCs w:val="22"/>
        </w:rPr>
        <w:t xml:space="preserve">% </w:t>
      </w:r>
      <w:r w:rsidR="00775F67">
        <w:rPr>
          <w:sz w:val="22"/>
          <w:szCs w:val="22"/>
        </w:rPr>
        <w:t xml:space="preserve">требуемого для Покупателя </w:t>
      </w:r>
      <w:r w:rsidR="00445C0B">
        <w:rPr>
          <w:sz w:val="22"/>
          <w:szCs w:val="22"/>
        </w:rPr>
        <w:t xml:space="preserve">ассортимента </w:t>
      </w:r>
      <w:r>
        <w:rPr>
          <w:sz w:val="22"/>
          <w:szCs w:val="22"/>
        </w:rPr>
        <w:t>Товаров</w:t>
      </w:r>
      <w:r w:rsidR="00445C0B">
        <w:rPr>
          <w:sz w:val="22"/>
          <w:szCs w:val="22"/>
        </w:rPr>
        <w:t xml:space="preserve"> </w:t>
      </w:r>
      <w:r w:rsidR="00775F67">
        <w:rPr>
          <w:sz w:val="22"/>
          <w:szCs w:val="22"/>
        </w:rPr>
        <w:t>согласно</w:t>
      </w:r>
      <w:r w:rsidR="00445C0B">
        <w:rPr>
          <w:sz w:val="22"/>
          <w:szCs w:val="22"/>
        </w:rPr>
        <w:t xml:space="preserve"> приложенны</w:t>
      </w:r>
      <w:r w:rsidR="00775F67">
        <w:rPr>
          <w:sz w:val="22"/>
          <w:szCs w:val="22"/>
        </w:rPr>
        <w:t>м</w:t>
      </w:r>
      <w:r w:rsidR="00445C0B">
        <w:rPr>
          <w:sz w:val="22"/>
          <w:szCs w:val="22"/>
        </w:rPr>
        <w:t xml:space="preserve"> к </w:t>
      </w:r>
      <w:r w:rsidR="00775F67">
        <w:rPr>
          <w:sz w:val="22"/>
          <w:szCs w:val="22"/>
        </w:rPr>
        <w:t>настоящему Техническому заданию</w:t>
      </w:r>
      <w:r w:rsidR="00445C0B">
        <w:rPr>
          <w:sz w:val="22"/>
          <w:szCs w:val="22"/>
        </w:rPr>
        <w:t xml:space="preserve"> спецификаци</w:t>
      </w:r>
      <w:r w:rsidR="00775F67">
        <w:rPr>
          <w:sz w:val="22"/>
          <w:szCs w:val="22"/>
        </w:rPr>
        <w:t>ям для категорий «канцелярские товары», «хозяйственные товары», «продукты питания»</w:t>
      </w:r>
      <w:r w:rsidR="00445C0B">
        <w:rPr>
          <w:sz w:val="22"/>
          <w:szCs w:val="22"/>
        </w:rPr>
        <w:t xml:space="preserve"> </w:t>
      </w:r>
      <w:r w:rsidR="00775F67">
        <w:rPr>
          <w:sz w:val="22"/>
          <w:szCs w:val="22"/>
        </w:rPr>
        <w:t>(без предложения аналогов)</w:t>
      </w:r>
      <w:r>
        <w:rPr>
          <w:sz w:val="22"/>
          <w:szCs w:val="22"/>
        </w:rPr>
        <w:t xml:space="preserve"> </w:t>
      </w:r>
      <w:r w:rsidR="00775F67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 актуальной информацией по наличию и ценам.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6.5 Наличие у Поставщика необходимой профессиональной квалификации, опыта, </w:t>
      </w:r>
      <w:r>
        <w:rPr>
          <w:sz w:val="22"/>
          <w:szCs w:val="22"/>
        </w:rPr>
        <w:lastRenderedPageBreak/>
        <w:t>аналогичного предмету закупки, положительной деловой репутации, а также необходимых трудовых ресурсов для выполнения обязательств по Договору.</w:t>
      </w:r>
    </w:p>
    <w:p w:rsidR="003B49D4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 xml:space="preserve">6.6 Поставщик должен иметь опыт работы в данном секторе деятельности не менее </w:t>
      </w:r>
      <w:r w:rsidR="008D1CC7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8D1CC7">
        <w:rPr>
          <w:sz w:val="22"/>
          <w:szCs w:val="22"/>
        </w:rPr>
        <w:t xml:space="preserve">ти </w:t>
      </w:r>
      <w:r>
        <w:rPr>
          <w:sz w:val="22"/>
          <w:szCs w:val="22"/>
        </w:rPr>
        <w:t xml:space="preserve">лет </w:t>
      </w:r>
      <w:r w:rsidR="00775F67">
        <w:rPr>
          <w:sz w:val="22"/>
          <w:szCs w:val="22"/>
        </w:rPr>
        <w:t xml:space="preserve">и иметь действующие контракты на поставку аналогичного ассортимента </w:t>
      </w:r>
      <w:r>
        <w:rPr>
          <w:sz w:val="22"/>
          <w:szCs w:val="22"/>
        </w:rPr>
        <w:t xml:space="preserve">(подтверждается копиями </w:t>
      </w:r>
      <w:r w:rsidR="00775F67">
        <w:rPr>
          <w:sz w:val="22"/>
          <w:szCs w:val="22"/>
        </w:rPr>
        <w:t xml:space="preserve">не менее 3-х </w:t>
      </w:r>
      <w:r>
        <w:rPr>
          <w:sz w:val="22"/>
          <w:szCs w:val="22"/>
        </w:rPr>
        <w:t>договоров</w:t>
      </w:r>
      <w:r w:rsidR="003B49D4">
        <w:rPr>
          <w:sz w:val="22"/>
          <w:szCs w:val="22"/>
        </w:rPr>
        <w:t>).</w:t>
      </w:r>
    </w:p>
    <w:p w:rsidR="004B7147" w:rsidRDefault="006D2B65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  <w:r>
        <w:rPr>
          <w:sz w:val="22"/>
          <w:szCs w:val="22"/>
        </w:rPr>
        <w:t>6.</w:t>
      </w:r>
      <w:r w:rsidR="003B49D4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Назначение курирующего менеджера для решения оперативных вопросов по заказу Товара, подбору аналогов.  </w:t>
      </w:r>
    </w:p>
    <w:p w:rsidR="004B7147" w:rsidRDefault="004B7147">
      <w:pPr>
        <w:pStyle w:val="aff1"/>
        <w:spacing w:before="4" w:after="4" w:line="360" w:lineRule="auto"/>
        <w:ind w:left="142" w:right="57" w:firstLine="0"/>
        <w:rPr>
          <w:sz w:val="22"/>
          <w:szCs w:val="22"/>
        </w:rPr>
      </w:pPr>
    </w:p>
    <w:sectPr w:rsidR="004B7147">
      <w:footerReference w:type="default" r:id="rId7"/>
      <w:pgSz w:w="11906" w:h="16838"/>
      <w:pgMar w:top="1040" w:right="740" w:bottom="940" w:left="1600" w:header="0" w:footer="7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65" w:rsidRDefault="006D2B65">
      <w:r>
        <w:separator/>
      </w:r>
    </w:p>
  </w:endnote>
  <w:endnote w:type="continuationSeparator" w:id="0">
    <w:p w:rsidR="006D2B65" w:rsidRDefault="006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147" w:rsidRDefault="006D2B65">
    <w:pPr>
      <w:pStyle w:val="af3"/>
      <w:spacing w:line="9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6932930</wp:posOffset>
              </wp:positionH>
              <wp:positionV relativeFrom="page">
                <wp:posOffset>10069830</wp:posOffset>
              </wp:positionV>
              <wp:extent cx="114300" cy="16573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B7147" w:rsidRDefault="006D2B65">
                          <w:pPr>
                            <w:pStyle w:val="af3"/>
                            <w:spacing w:before="10"/>
                            <w:ind w:left="4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1" o:spid="_x0000_s1026" style="position:absolute;margin-left:545.9pt;margin-top:792.9pt;width:9pt;height:13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" o:allowincell="f" filled="f" stroked="f" strokeweight="0">
              <v:textbox inset="0,0,0,0">
                <w:txbxContent>
                  <w:p w:rsidR="004B7147" w:rsidRDefault="006D2B65">
                    <w:pPr>
                      <w:pStyle w:val="af3"/>
                      <w:spacing w:before="10"/>
                      <w:ind w:left="4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3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65" w:rsidRDefault="006D2B65">
      <w:r>
        <w:separator/>
      </w:r>
    </w:p>
  </w:footnote>
  <w:footnote w:type="continuationSeparator" w:id="0">
    <w:p w:rsidR="006D2B65" w:rsidRDefault="006D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9E5"/>
    <w:multiLevelType w:val="multilevel"/>
    <w:tmpl w:val="C3CE6492"/>
    <w:lvl w:ilvl="0">
      <w:start w:val="1"/>
      <w:numFmt w:val="decimal"/>
      <w:lvlText w:val="%1."/>
      <w:lvlJc w:val="left"/>
      <w:pPr>
        <w:tabs>
          <w:tab w:val="num" w:pos="0"/>
        </w:tabs>
        <w:ind w:left="346" w:hanging="244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7" w:hanging="244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8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9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1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2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03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54" w:hanging="244"/>
      </w:pPr>
      <w:rPr>
        <w:rFonts w:ascii="Symbol" w:hAnsi="Symbol" w:cs="Symbol" w:hint="default"/>
      </w:rPr>
    </w:lvl>
  </w:abstractNum>
  <w:abstractNum w:abstractNumId="1" w15:restartNumberingAfterBreak="0">
    <w:nsid w:val="665C33A5"/>
    <w:multiLevelType w:val="multilevel"/>
    <w:tmpl w:val="DE46C2A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61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2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08" w:hanging="1800"/>
      </w:pPr>
    </w:lvl>
  </w:abstractNum>
  <w:abstractNum w:abstractNumId="2" w15:restartNumberingAfterBreak="0">
    <w:nsid w:val="70C80279"/>
    <w:multiLevelType w:val="multilevel"/>
    <w:tmpl w:val="2668CD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47"/>
    <w:rsid w:val="0012053C"/>
    <w:rsid w:val="00307A8C"/>
    <w:rsid w:val="003B49D4"/>
    <w:rsid w:val="00445C0B"/>
    <w:rsid w:val="004B1B66"/>
    <w:rsid w:val="004B7147"/>
    <w:rsid w:val="006D2B65"/>
    <w:rsid w:val="00775F67"/>
    <w:rsid w:val="007B62D2"/>
    <w:rsid w:val="008D1CC7"/>
    <w:rsid w:val="00A6245B"/>
    <w:rsid w:val="00D560E1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A3BE-A94D-49CC-B873-E1FCD78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pPr>
      <w:ind w:left="346" w:hanging="244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aa">
    <w:name w:val="Текст сноски Знак"/>
    <w:link w:val="ab"/>
    <w:uiPriority w:val="99"/>
    <w:qFormat/>
    <w:rPr>
      <w:sz w:val="18"/>
    </w:rPr>
  </w:style>
  <w:style w:type="character" w:customStyle="1" w:styleId="ac">
    <w:name w:val="Символ сноски"/>
    <w:uiPriority w:val="99"/>
    <w:unhideWhenUsed/>
    <w:qFormat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ae">
    <w:name w:val="Текст концевой сноски Знак"/>
    <w:link w:val="af"/>
    <w:uiPriority w:val="99"/>
    <w:qFormat/>
    <w:rPr>
      <w:sz w:val="20"/>
    </w:rPr>
  </w:style>
  <w:style w:type="character" w:customStyle="1" w:styleId="af0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1">
    <w:name w:val="endnote reference"/>
    <w:rPr>
      <w:vertAlign w:val="superscript"/>
    </w:rPr>
  </w:style>
  <w:style w:type="character" w:customStyle="1" w:styleId="11">
    <w:name w:val="Заголовок 1 Знак"/>
    <w:basedOn w:val="a0"/>
    <w:uiPriority w:val="1"/>
    <w:qFormat/>
    <w:rPr>
      <w:rFonts w:ascii="Arial" w:eastAsiaTheme="minorEastAsia" w:hAnsi="Arial" w:cs="Arial"/>
      <w:b/>
      <w:bCs/>
      <w:lang w:eastAsia="ru-RU"/>
    </w:rPr>
  </w:style>
  <w:style w:type="character" w:customStyle="1" w:styleId="af2">
    <w:name w:val="Основной текст Знак"/>
    <w:basedOn w:val="a0"/>
    <w:link w:val="af3"/>
    <w:uiPriority w:val="1"/>
    <w:qFormat/>
    <w:rPr>
      <w:rFonts w:ascii="Arial" w:eastAsiaTheme="minorEastAsia" w:hAnsi="Arial" w:cs="Arial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qFormat/>
    <w:rsid w:val="00B64FA8"/>
    <w:rPr>
      <w:rFonts w:ascii="Segoe UI" w:eastAsiaTheme="minorEastAsia" w:hAnsi="Segoe UI" w:cs="Segoe UI"/>
      <w:sz w:val="18"/>
      <w:szCs w:val="18"/>
      <w:lang w:eastAsia="ru-RU"/>
    </w:rPr>
  </w:style>
  <w:style w:type="character" w:styleId="afa">
    <w:name w:val="line number"/>
  </w:style>
  <w:style w:type="paragraph" w:styleId="a4">
    <w:name w:val="Title"/>
    <w:basedOn w:val="a"/>
    <w:next w:val="af3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Body Text"/>
    <w:basedOn w:val="a"/>
    <w:link w:val="af2"/>
    <w:uiPriority w:val="1"/>
    <w:qFormat/>
    <w:pPr>
      <w:ind w:left="1234" w:hanging="1132"/>
    </w:pPr>
    <w:rPr>
      <w:sz w:val="22"/>
      <w:szCs w:val="22"/>
    </w:rPr>
  </w:style>
  <w:style w:type="paragraph" w:styleId="afb">
    <w:name w:val="List"/>
    <w:basedOn w:val="af3"/>
    <w:rPr>
      <w:rFonts w:cs="Lucida Sans"/>
    </w:rPr>
  </w:style>
  <w:style w:type="paragraph" w:styleId="af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d">
    <w:name w:val="index heading"/>
    <w:basedOn w:val="a4"/>
  </w:style>
  <w:style w:type="paragraph" w:styleId="afe">
    <w:name w:val="No Spacing"/>
    <w:uiPriority w:val="1"/>
    <w:qFormat/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b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paragraph" w:styleId="af">
    <w:name w:val="endnote text"/>
    <w:basedOn w:val="a"/>
    <w:link w:val="ae"/>
    <w:uiPriority w:val="99"/>
    <w:semiHidden/>
    <w:unhideWhenUsed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">
    <w:name w:val="TOC Heading"/>
    <w:uiPriority w:val="39"/>
    <w:unhideWhenUsed/>
    <w:pPr>
      <w:spacing w:after="160" w:line="259" w:lineRule="auto"/>
    </w:pPr>
  </w:style>
  <w:style w:type="paragraph" w:styleId="aff0">
    <w:name w:val="table of figures"/>
    <w:basedOn w:val="a"/>
    <w:next w:val="a"/>
    <w:uiPriority w:val="99"/>
    <w:unhideWhenUsed/>
    <w:qFormat/>
  </w:style>
  <w:style w:type="paragraph" w:styleId="aff1">
    <w:name w:val="List Paragraph"/>
    <w:basedOn w:val="a"/>
    <w:uiPriority w:val="34"/>
    <w:qFormat/>
    <w:pPr>
      <w:spacing w:before="3"/>
      <w:ind w:left="1234" w:hanging="1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ff2">
    <w:name w:val="Колонтитул"/>
    <w:basedOn w:val="a"/>
    <w:qFormat/>
  </w:style>
  <w:style w:type="paragraph" w:styleId="af5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Balloon Text"/>
    <w:basedOn w:val="a"/>
    <w:link w:val="af8"/>
    <w:uiPriority w:val="99"/>
    <w:semiHidden/>
    <w:unhideWhenUsed/>
    <w:qFormat/>
    <w:rsid w:val="00B64FA8"/>
    <w:rPr>
      <w:rFonts w:ascii="Segoe UI" w:hAnsi="Segoe UI" w:cs="Segoe UI"/>
      <w:sz w:val="18"/>
      <w:szCs w:val="18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aliases w:val="Заголовок 1 Знак1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aliases w:val="Заголовок 3 Знак1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0">
    <w:name w:val="Plain Table 4"/>
    <w:aliases w:val="Заголовок 4 Знак1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0">
    <w:name w:val="Plain Table 5"/>
    <w:aliases w:val="Заголовок 5 Знак1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Сиркина Елена Ивановна</dc:creator>
  <dc:description/>
  <cp:lastModifiedBy>Малова Ирина Геннадьевна</cp:lastModifiedBy>
  <cp:revision>2</cp:revision>
  <dcterms:created xsi:type="dcterms:W3CDTF">2024-07-01T14:56:00Z</dcterms:created>
  <dcterms:modified xsi:type="dcterms:W3CDTF">2024-07-01T14:56:00Z</dcterms:modified>
  <dc:language>ru-RU</dc:language>
</cp:coreProperties>
</file>