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3B17B" w14:textId="044E8E01" w:rsidR="009D3EE9" w:rsidRPr="005B3824" w:rsidRDefault="009D3EE9" w:rsidP="005B3824">
      <w:pPr>
        <w:tabs>
          <w:tab w:val="left" w:pos="1890"/>
        </w:tabs>
        <w:sectPr w:rsidR="009D3EE9" w:rsidRPr="005B3824" w:rsidSect="005B3824">
          <w:headerReference w:type="even" r:id="rId8"/>
          <w:footerReference w:type="even" r:id="rId9"/>
          <w:pgSz w:w="11906" w:h="16838"/>
          <w:pgMar w:top="0" w:right="1134" w:bottom="567" w:left="1134" w:header="283" w:footer="454" w:gutter="0"/>
          <w:cols w:space="720"/>
          <w:titlePg/>
          <w:docGrid w:linePitch="360"/>
        </w:sectPr>
      </w:pPr>
    </w:p>
    <w:p w14:paraId="59FDBA67" w14:textId="5D01A2CE" w:rsidR="00156A8F" w:rsidRDefault="00156A8F" w:rsidP="007B232C">
      <w:pPr>
        <w:rPr>
          <w:rFonts w:ascii="Calibri" w:eastAsia="Calibri" w:hAnsi="Calibri"/>
          <w:kern w:val="0"/>
          <w:lang w:eastAsia="en-US"/>
        </w:rPr>
      </w:pPr>
    </w:p>
    <w:p w14:paraId="22CF9A9F" w14:textId="116B7AD0" w:rsidR="007B232C" w:rsidRDefault="007B232C" w:rsidP="007B232C">
      <w:pPr>
        <w:rPr>
          <w:rFonts w:ascii="Calibri" w:eastAsia="Calibri" w:hAnsi="Calibri"/>
          <w:kern w:val="0"/>
          <w:lang w:eastAsia="en-US"/>
        </w:rPr>
      </w:pPr>
    </w:p>
    <w:p w14:paraId="6353481D" w14:textId="77777777" w:rsidR="007B232C" w:rsidRDefault="007B232C" w:rsidP="007B232C">
      <w:pPr>
        <w:rPr>
          <w:b/>
          <w:sz w:val="32"/>
          <w:szCs w:val="32"/>
        </w:rPr>
      </w:pPr>
    </w:p>
    <w:p w14:paraId="72073557" w14:textId="0E31FF0A" w:rsidR="005B3824" w:rsidRPr="007B232C" w:rsidRDefault="00873979" w:rsidP="007B232C">
      <w:pPr>
        <w:rPr>
          <w:kern w:val="0"/>
          <w:sz w:val="16"/>
          <w:szCs w:val="16"/>
          <w:lang w:eastAsia="en-US"/>
        </w:rPr>
      </w:pPr>
      <w:r>
        <w:rPr>
          <w:b/>
          <w:sz w:val="32"/>
          <w:szCs w:val="32"/>
        </w:rPr>
        <w:tab/>
      </w:r>
      <w:r w:rsidR="007B232C">
        <w:rPr>
          <w:noProof/>
          <w:sz w:val="28"/>
          <w:szCs w:val="28"/>
        </w:rPr>
        <w:t xml:space="preserve">         </w:t>
      </w:r>
    </w:p>
    <w:tbl>
      <w:tblPr>
        <w:tblpPr w:leftFromText="180" w:rightFromText="180" w:vertAnchor="page" w:horzAnchor="margin" w:tblpX="2268" w:tblpY="150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23E5A" w14:paraId="095B6353" w14:textId="77777777" w:rsidTr="007B232C">
        <w:trPr>
          <w:trHeight w:val="151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72410" w14:textId="77777777" w:rsidR="00523E5A" w:rsidRDefault="00523E5A" w:rsidP="007B232C">
            <w:pPr>
              <w:spacing w:before="240" w:line="1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</w:t>
            </w:r>
          </w:p>
          <w:p w14:paraId="7FEF2B09" w14:textId="77777777" w:rsidR="00523E5A" w:rsidRDefault="00523E5A" w:rsidP="007B232C">
            <w:pPr>
              <w:spacing w:line="1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«АДМИРАЛТЕЙСКИЕ ВЕРФИ»</w:t>
            </w:r>
          </w:p>
          <w:p w14:paraId="15530570" w14:textId="77777777" w:rsidR="00523E5A" w:rsidRDefault="00523E5A" w:rsidP="007B232C">
            <w:r>
              <w:rPr>
                <w:b/>
                <w:sz w:val="26"/>
                <w:szCs w:val="26"/>
              </w:rPr>
              <w:t xml:space="preserve">      </w:t>
            </w:r>
            <w:r>
              <w:t>(АО «АДМИРАЛТЕЙСКИЕ ВЕРФИ»)</w:t>
            </w:r>
          </w:p>
          <w:p w14:paraId="2D045542" w14:textId="77777777" w:rsidR="00523E5A" w:rsidRDefault="00523E5A" w:rsidP="007B23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наб. реки Фонтанки, 203, Санкт-Петербург, 190121</w:t>
            </w:r>
          </w:p>
          <w:p w14:paraId="1A4787F7" w14:textId="77777777" w:rsidR="00523E5A" w:rsidRDefault="00523E5A" w:rsidP="007B23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тел.(812)494-79-43, факс(812)571-13-71; </w:t>
            </w:r>
            <w:r>
              <w:rPr>
                <w:sz w:val="14"/>
                <w:szCs w:val="14"/>
                <w:lang w:val="en-US"/>
              </w:rPr>
              <w:t>info</w:t>
            </w:r>
            <w:r>
              <w:rPr>
                <w:sz w:val="14"/>
                <w:szCs w:val="14"/>
              </w:rPr>
              <w:t>@</w:t>
            </w:r>
            <w:r>
              <w:rPr>
                <w:sz w:val="14"/>
                <w:szCs w:val="14"/>
                <w:lang w:val="en-US"/>
              </w:rPr>
              <w:t>ashipyards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com</w:t>
            </w:r>
          </w:p>
          <w:p w14:paraId="4537D10B" w14:textId="77777777" w:rsidR="00523E5A" w:rsidRDefault="00523E5A" w:rsidP="007B232C">
            <w:pPr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ИНН/КПП 7839395419/997450001 ОКПО 07521952 ОГРН 1089848054339</w:t>
            </w:r>
          </w:p>
        </w:tc>
      </w:tr>
    </w:tbl>
    <w:p w14:paraId="54266C1C" w14:textId="1122C8E4" w:rsidR="00164DEF" w:rsidRPr="00A61E46" w:rsidRDefault="007B232C" w:rsidP="007B232C">
      <w:pPr>
        <w:framePr w:w="9917" w:wrap="auto" w:hAnchor="text"/>
        <w:jc w:val="center"/>
        <w:rPr>
          <w:sz w:val="28"/>
          <w:szCs w:val="28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7E819F40" wp14:editId="4DC764F1">
            <wp:extent cx="1590675" cy="714375"/>
            <wp:effectExtent l="0" t="0" r="9525" b="9525"/>
            <wp:docPr id="1" name="Рисунок 1" descr="лого нов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ново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542FA" w14:textId="77777777" w:rsidR="00BB469B" w:rsidRDefault="00BB469B" w:rsidP="007B232C">
      <w:pPr>
        <w:framePr w:w="9917" w:wrap="auto" w:hAnchor="text"/>
        <w:jc w:val="center"/>
        <w:rPr>
          <w:sz w:val="28"/>
          <w:szCs w:val="28"/>
        </w:rPr>
      </w:pPr>
    </w:p>
    <w:p w14:paraId="1A186912" w14:textId="353E3F7D" w:rsidR="00BB469B" w:rsidRDefault="00BB469B" w:rsidP="007B232C">
      <w:pPr>
        <w:rPr>
          <w:sz w:val="28"/>
          <w:szCs w:val="28"/>
        </w:rPr>
      </w:pPr>
    </w:p>
    <w:p w14:paraId="28CAE49F" w14:textId="19C1558B" w:rsidR="00C7104E" w:rsidRPr="00A61E46" w:rsidRDefault="000E1745" w:rsidP="00C7104E">
      <w:pPr>
        <w:jc w:val="center"/>
        <w:rPr>
          <w:sz w:val="28"/>
          <w:szCs w:val="28"/>
        </w:rPr>
      </w:pPr>
      <w:r w:rsidRPr="00A61E46">
        <w:rPr>
          <w:sz w:val="28"/>
          <w:szCs w:val="28"/>
        </w:rPr>
        <w:t xml:space="preserve">ТЕХНИЧЕСКОЕ ЗАДАНИЕ </w:t>
      </w:r>
      <w:r w:rsidR="005B3824" w:rsidRPr="00A61E46">
        <w:rPr>
          <w:sz w:val="28"/>
          <w:szCs w:val="28"/>
        </w:rPr>
        <w:t xml:space="preserve">№ </w:t>
      </w:r>
      <w:r w:rsidR="00523E5A">
        <w:rPr>
          <w:sz w:val="28"/>
          <w:szCs w:val="28"/>
        </w:rPr>
        <w:t>97</w:t>
      </w:r>
      <w:r w:rsidR="007B232C">
        <w:rPr>
          <w:sz w:val="28"/>
          <w:szCs w:val="28"/>
        </w:rPr>
        <w:t>0</w:t>
      </w:r>
      <w:r w:rsidR="00523E5A">
        <w:rPr>
          <w:sz w:val="28"/>
          <w:szCs w:val="28"/>
        </w:rPr>
        <w:t>/63-0</w:t>
      </w:r>
      <w:r w:rsidR="007B232C">
        <w:rPr>
          <w:sz w:val="28"/>
          <w:szCs w:val="28"/>
        </w:rPr>
        <w:t>2-25</w:t>
      </w:r>
    </w:p>
    <w:p w14:paraId="7E1DF38A" w14:textId="77777777" w:rsidR="005B3824" w:rsidRPr="00A61E46" w:rsidRDefault="005B3824" w:rsidP="00164DEF">
      <w:pPr>
        <w:jc w:val="center"/>
        <w:rPr>
          <w:sz w:val="32"/>
          <w:szCs w:val="32"/>
        </w:rPr>
      </w:pPr>
    </w:p>
    <w:p w14:paraId="46424829" w14:textId="2D654128" w:rsidR="00B23D51" w:rsidRPr="007D47A4" w:rsidRDefault="00A15361" w:rsidP="007D47A4">
      <w:pPr>
        <w:jc w:val="center"/>
        <w:rPr>
          <w:sz w:val="28"/>
          <w:szCs w:val="28"/>
        </w:rPr>
      </w:pPr>
      <w:r w:rsidRPr="00A15361">
        <w:rPr>
          <w:sz w:val="28"/>
          <w:szCs w:val="28"/>
        </w:rPr>
        <w:t>на выполнение работ по экспертизе промышленной безопасности грузоподъёмных кранов с истекшим нормативным сроком службы, применяемых на опасных производственных объектах</w:t>
      </w:r>
      <w:r w:rsidR="007D47A4">
        <w:rPr>
          <w:sz w:val="28"/>
          <w:szCs w:val="28"/>
        </w:rPr>
        <w:t xml:space="preserve"> Общества</w:t>
      </w:r>
      <w:bookmarkStart w:id="0" w:name="_GoBack"/>
      <w:bookmarkEnd w:id="0"/>
      <w:r w:rsidRPr="00A15361">
        <w:rPr>
          <w:sz w:val="28"/>
          <w:szCs w:val="28"/>
        </w:rPr>
        <w:t>.</w:t>
      </w:r>
    </w:p>
    <w:p w14:paraId="15A7D872" w14:textId="6327380C" w:rsidR="00B23D51" w:rsidRDefault="00B23D51" w:rsidP="00B67F73">
      <w:pPr>
        <w:widowControl w:val="0"/>
        <w:tabs>
          <w:tab w:val="left" w:pos="615"/>
          <w:tab w:val="left" w:pos="4275"/>
          <w:tab w:val="left" w:pos="7020"/>
        </w:tabs>
        <w:rPr>
          <w:rFonts w:eastAsia="Courier New"/>
          <w:lang w:eastAsia="ru-RU" w:bidi="ru-RU"/>
        </w:rPr>
      </w:pPr>
    </w:p>
    <w:tbl>
      <w:tblPr>
        <w:tblW w:w="9803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094"/>
      </w:tblGrid>
      <w:tr w:rsidR="00B23D51" w:rsidRPr="00C363D8" w14:paraId="5DDC1C28" w14:textId="77777777" w:rsidTr="00B23D51">
        <w:trPr>
          <w:trHeight w:val="24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4084C1" w14:textId="77777777" w:rsidR="00B23D51" w:rsidRPr="00915092" w:rsidRDefault="00B23D51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915092">
              <w:rPr>
                <w:rFonts w:eastAsia="SimSun" w:cs="Mangal"/>
                <w:b/>
                <w:lang w:eastAsia="hi-IN" w:bidi="hi-IN"/>
              </w:rPr>
              <w:t>1</w:t>
            </w:r>
          </w:p>
        </w:tc>
        <w:tc>
          <w:tcPr>
            <w:tcW w:w="9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31DC45" w14:textId="7B0D82CB" w:rsidR="00B23D51" w:rsidRPr="00BB469B" w:rsidRDefault="00B23D51" w:rsidP="00A911F4">
            <w:pPr>
              <w:widowControl w:val="0"/>
              <w:suppressLineNumbers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B23D51">
              <w:rPr>
                <w:rFonts w:eastAsia="SimSun" w:cs="Mangal"/>
                <w:b/>
                <w:lang w:eastAsia="hi-IN" w:bidi="hi-IN"/>
              </w:rPr>
              <w:t>Предмет договора</w:t>
            </w:r>
          </w:p>
        </w:tc>
      </w:tr>
      <w:tr w:rsidR="00B23D51" w:rsidRPr="00C363D8" w14:paraId="5356641F" w14:textId="77777777" w:rsidTr="00A911F4">
        <w:trPr>
          <w:trHeight w:val="433"/>
        </w:trPr>
        <w:tc>
          <w:tcPr>
            <w:tcW w:w="9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31033F" w14:textId="77777777" w:rsidR="00B23D51" w:rsidRPr="00497EAC" w:rsidRDefault="00B23D51" w:rsidP="00A911F4">
            <w:pPr>
              <w:ind w:firstLine="513"/>
              <w:jc w:val="both"/>
              <w:rPr>
                <w:snapToGrid w:val="0"/>
                <w:szCs w:val="26"/>
              </w:rPr>
            </w:pPr>
            <w:r>
              <w:rPr>
                <w:snapToGrid w:val="0"/>
                <w:szCs w:val="26"/>
              </w:rPr>
              <w:t xml:space="preserve">1. </w:t>
            </w:r>
            <w:r w:rsidRPr="00A15361">
              <w:rPr>
                <w:snapToGrid w:val="0"/>
                <w:szCs w:val="26"/>
              </w:rPr>
              <w:t>Экспертиза промышленной безопасности грузоподъемного оборудования выполняется для определения соответствия объектов экспертизы предъявляемым к ним требованиям промышленной безопасности, оценки технического состояния и определения сроков безопасной эксплуатации. Разработка мероприятий, обеспечивающих надежную работу в течение указанного времени.</w:t>
            </w:r>
          </w:p>
        </w:tc>
      </w:tr>
      <w:tr w:rsidR="00B23D51" w:rsidRPr="00C363D8" w14:paraId="210E7AB9" w14:textId="77777777" w:rsidTr="00B23D51">
        <w:trPr>
          <w:trHeight w:val="31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4BEA1B" w14:textId="77777777" w:rsidR="00B23D51" w:rsidRPr="00BB469B" w:rsidRDefault="00B23D51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BB469B">
              <w:rPr>
                <w:rFonts w:eastAsia="SimSun" w:cs="Mangal"/>
                <w:b/>
                <w:lang w:eastAsia="hi-IN" w:bidi="hi-IN"/>
              </w:rPr>
              <w:t>2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60D66A" w14:textId="7F9CA641" w:rsidR="00B23D51" w:rsidRPr="00AA3E48" w:rsidRDefault="00B23D51" w:rsidP="00A911F4">
            <w:pPr>
              <w:widowControl w:val="0"/>
              <w:suppressLineNumbers/>
              <w:spacing w:line="276" w:lineRule="auto"/>
              <w:jc w:val="center"/>
              <w:rPr>
                <w:rFonts w:eastAsia="SimSun" w:cs="Mangal"/>
                <w:b/>
                <w:i/>
                <w:lang w:eastAsia="hi-IN" w:bidi="hi-IN"/>
              </w:rPr>
            </w:pPr>
            <w:r w:rsidRPr="00AA3E48">
              <w:rPr>
                <w:rFonts w:eastAsia="SimSun" w:cs="Mangal"/>
                <w:b/>
                <w:lang w:eastAsia="hi-IN" w:bidi="hi-IN"/>
              </w:rPr>
              <w:t xml:space="preserve">Основание для </w:t>
            </w:r>
            <w:r w:rsidRPr="00B23D51">
              <w:rPr>
                <w:rFonts w:eastAsia="SimSun" w:cs="Mangal"/>
                <w:b/>
                <w:lang w:eastAsia="hi-IN" w:bidi="hi-IN"/>
              </w:rPr>
              <w:t>заключения договора</w:t>
            </w:r>
          </w:p>
        </w:tc>
      </w:tr>
      <w:tr w:rsidR="00B23D51" w:rsidRPr="00C363D8" w14:paraId="39224B63" w14:textId="77777777" w:rsidTr="00A911F4">
        <w:trPr>
          <w:trHeight w:val="607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B00E52" w14:textId="5DC8EDC4" w:rsidR="00B23D51" w:rsidRPr="00D46729" w:rsidRDefault="00B23D51" w:rsidP="000135D6">
            <w:pPr>
              <w:ind w:firstLine="513"/>
              <w:jc w:val="both"/>
              <w:rPr>
                <w:rFonts w:eastAsia="SimSun" w:cs="Mangal"/>
                <w:i/>
                <w:lang w:eastAsia="hi-IN" w:bidi="hi-IN"/>
              </w:rPr>
            </w:pPr>
            <w:r>
              <w:rPr>
                <w:snapToGrid w:val="0"/>
                <w:szCs w:val="26"/>
              </w:rPr>
              <w:t xml:space="preserve"> </w:t>
            </w:r>
            <w:r w:rsidR="007D47A4">
              <w:rPr>
                <w:snapToGrid w:val="0"/>
                <w:szCs w:val="26"/>
              </w:rPr>
              <w:t xml:space="preserve">1. </w:t>
            </w:r>
            <w:r w:rsidRPr="00B23D51">
              <w:rPr>
                <w:snapToGrid w:val="0"/>
                <w:szCs w:val="26"/>
              </w:rPr>
              <w:t xml:space="preserve">Экспертиза промышленной безопасности проводится на основании </w:t>
            </w:r>
            <w:r w:rsidR="000135D6">
              <w:rPr>
                <w:snapToGrid w:val="0"/>
                <w:szCs w:val="26"/>
              </w:rPr>
              <w:t>окончания срока службы оборудования</w:t>
            </w:r>
          </w:p>
        </w:tc>
      </w:tr>
      <w:tr w:rsidR="00B23D51" w:rsidRPr="00C363D8" w14:paraId="05628F7F" w14:textId="77777777" w:rsidTr="00B23D51">
        <w:trPr>
          <w:trHeight w:val="349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6195E0" w14:textId="7E61284D" w:rsidR="00B23D51" w:rsidRPr="00B23D51" w:rsidRDefault="00B23D51" w:rsidP="000135D6">
            <w:pPr>
              <w:ind w:hanging="52"/>
              <w:jc w:val="center"/>
              <w:rPr>
                <w:b/>
                <w:snapToGrid w:val="0"/>
                <w:szCs w:val="26"/>
              </w:rPr>
            </w:pPr>
            <w:r w:rsidRPr="00B23D51">
              <w:rPr>
                <w:b/>
                <w:snapToGrid w:val="0"/>
                <w:szCs w:val="26"/>
              </w:rPr>
              <w:t>3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36F506" w14:textId="19892C09" w:rsidR="00B23D51" w:rsidRDefault="00B23D51" w:rsidP="000135D6">
            <w:pPr>
              <w:ind w:firstLine="513"/>
              <w:jc w:val="center"/>
              <w:rPr>
                <w:snapToGrid w:val="0"/>
                <w:szCs w:val="26"/>
              </w:rPr>
            </w:pPr>
            <w:r w:rsidRPr="00CC0AA7">
              <w:rPr>
                <w:rFonts w:eastAsia="Calibri"/>
                <w:b/>
              </w:rPr>
              <w:t>Перечень документов для подачи предложения по лоту участником</w:t>
            </w:r>
          </w:p>
        </w:tc>
      </w:tr>
      <w:tr w:rsidR="00B23D51" w:rsidRPr="00C363D8" w14:paraId="66FAD2AB" w14:textId="77777777" w:rsidTr="00A911F4">
        <w:trPr>
          <w:trHeight w:val="607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56609B" w14:textId="77777777" w:rsidR="00B23D51" w:rsidRPr="00B23D51" w:rsidRDefault="00B23D51" w:rsidP="00B23D51">
            <w:pPr>
              <w:ind w:firstLine="513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Для рассмотрения возможности заключения договора с потенциальным подрядчиком необходимо предоставить от организации участника:</w:t>
            </w:r>
          </w:p>
          <w:p w14:paraId="1CC5004A" w14:textId="77777777" w:rsidR="00B23D51" w:rsidRPr="00B23D51" w:rsidRDefault="00B23D51" w:rsidP="00B23D51">
            <w:pPr>
              <w:ind w:firstLine="513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1. При подаче ценового предложения необходимо предоставить заверенную руководителем организации копию договора со всеми Приложениями, являющимися неотъемлемой частью договора, на выполнение аналогичных работ по проведению экспертизы промышленной безопасности грузоподъёмного оборудования, заключенный в период с 2023 по настоящее время, со стоимостью не менее 200 000 рублей без НДС и акты приемки выполненных работ, подтверждающие факт выполнения работ, подписанные обеими сторонами.</w:t>
            </w:r>
          </w:p>
          <w:p w14:paraId="4CA8D286" w14:textId="77777777" w:rsidR="00B23D51" w:rsidRPr="00B23D51" w:rsidRDefault="00B23D51" w:rsidP="00B23D51">
            <w:pPr>
              <w:ind w:firstLine="513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2. При подаче ценового предложения необходимо предоставить заверенное руководителем организации гарантийное письмо о возможности проведения работ в режиме действующего предприятия;</w:t>
            </w:r>
          </w:p>
          <w:p w14:paraId="03A14F00" w14:textId="77777777" w:rsidR="00B23D51" w:rsidRPr="00B23D51" w:rsidRDefault="00B23D51" w:rsidP="00B23D51">
            <w:pPr>
              <w:ind w:firstLine="513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3. При подаче ценового предложения необходимо предоставить заверенное руководителем организации гарантийное письмо о том, что все используемые материалы при проведении работ будут выпущены не позднее 2024 года;</w:t>
            </w:r>
          </w:p>
          <w:p w14:paraId="58CA6112" w14:textId="5E607130" w:rsidR="00B23D51" w:rsidRDefault="00B23D51" w:rsidP="00B23D51">
            <w:pPr>
              <w:ind w:firstLine="513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4. При подаче ценового предложения необходимо предоставить смету/локальный сметный расчет/калькуляцию на выполнение данной работы в полном объеме.</w:t>
            </w:r>
          </w:p>
        </w:tc>
      </w:tr>
      <w:tr w:rsidR="00B23D51" w:rsidRPr="00C363D8" w14:paraId="5A95A59E" w14:textId="77777777" w:rsidTr="000135D6">
        <w:trPr>
          <w:trHeight w:val="46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CF82D9" w14:textId="031B2982" w:rsidR="00B23D51" w:rsidRPr="00B23D51" w:rsidRDefault="00B23D51" w:rsidP="000135D6">
            <w:pPr>
              <w:ind w:hanging="52"/>
              <w:jc w:val="center"/>
              <w:rPr>
                <w:b/>
                <w:snapToGrid w:val="0"/>
                <w:szCs w:val="26"/>
              </w:rPr>
            </w:pPr>
            <w:r>
              <w:rPr>
                <w:b/>
                <w:snapToGrid w:val="0"/>
                <w:szCs w:val="26"/>
              </w:rPr>
              <w:t>4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919F35" w14:textId="39B3D583" w:rsidR="00583BBD" w:rsidRPr="00583BBD" w:rsidRDefault="000135D6" w:rsidP="00583BBD">
            <w:pPr>
              <w:ind w:firstLine="513"/>
              <w:jc w:val="center"/>
              <w:rPr>
                <w:b/>
                <w:snapToGrid w:val="0"/>
                <w:szCs w:val="26"/>
              </w:rPr>
            </w:pPr>
            <w:r w:rsidRPr="00583BBD">
              <w:rPr>
                <w:b/>
                <w:snapToGrid w:val="0"/>
                <w:szCs w:val="26"/>
              </w:rPr>
              <w:t>Квалификационные требования к поставщику</w:t>
            </w:r>
          </w:p>
        </w:tc>
      </w:tr>
      <w:tr w:rsidR="00B23D51" w:rsidRPr="00C363D8" w14:paraId="3B7E21BD" w14:textId="77777777" w:rsidTr="00A911F4">
        <w:trPr>
          <w:trHeight w:val="607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C0380F" w14:textId="77777777" w:rsidR="000135D6" w:rsidRPr="000135D6" w:rsidRDefault="000135D6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 xml:space="preserve">1. В проведении экспертизы в отношении опасных производственных объектов III и IV классов опасности вправе участвовать эксперты первой, и (или) второй, и (или) третьей категории, аттестованные в области аттестации, соответствующей объекту экспертизы.      </w:t>
            </w:r>
          </w:p>
          <w:p w14:paraId="28337FD3" w14:textId="542F7D48" w:rsidR="000135D6" w:rsidRPr="000135D6" w:rsidRDefault="000135D6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2. Перед началом работ выполнения работ у Исполнителя должно быть:</w:t>
            </w:r>
          </w:p>
          <w:p w14:paraId="5FE9F937" w14:textId="77777777" w:rsidR="00B23D51" w:rsidRDefault="000135D6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lastRenderedPageBreak/>
              <w:t>а) организован отдел охраны труда с централизованной выдачей актов допуска персонала и нарядов-допусков на выполнение работ на производстве, с правом работы сотрудников предприятия на высоте.</w:t>
            </w:r>
          </w:p>
          <w:p w14:paraId="4A9D60B6" w14:textId="73EAF267" w:rsidR="000135D6" w:rsidRDefault="000135D6" w:rsidP="000135D6">
            <w:pPr>
              <w:contextualSpacing/>
              <w:jc w:val="both"/>
            </w:pPr>
            <w:r>
              <w:t xml:space="preserve">       </w:t>
            </w:r>
            <w:r>
              <w:t xml:space="preserve">б) в штате </w:t>
            </w:r>
            <w:r w:rsidRPr="00033F7B">
              <w:t>один и</w:t>
            </w:r>
            <w:r>
              <w:t>ли</w:t>
            </w:r>
            <w:r w:rsidRPr="00033F7B">
              <w:t xml:space="preserve"> более аттестованных специалистов на выполнение работ по обследованию строительных конструкций (зданий и сооружений) и иметь квалификационные удостоверения установленного образца.</w:t>
            </w:r>
          </w:p>
          <w:p w14:paraId="1293FE50" w14:textId="77777777" w:rsidR="000135D6" w:rsidRDefault="000135D6" w:rsidP="000135D6">
            <w:pPr>
              <w:contextualSpacing/>
              <w:jc w:val="both"/>
            </w:pPr>
            <w:r>
              <w:t xml:space="preserve">        в) необходимая приборная и инструментальная база, оборудование (средства измерения) должно быть поверено в соответствии с требованиями действующей НТД.</w:t>
            </w:r>
          </w:p>
          <w:p w14:paraId="69586198" w14:textId="14B480B8" w:rsidR="00583BBD" w:rsidRDefault="000135D6" w:rsidP="000135D6">
            <w:pPr>
              <w:widowControl w:val="0"/>
              <w:suppressLineNumbers/>
              <w:jc w:val="both"/>
              <w:rPr>
                <w:rFonts w:eastAsia="SimSun" w:cs="Mangal"/>
                <w:lang w:eastAsia="hi-IN" w:bidi="hi-IN"/>
              </w:rPr>
            </w:pPr>
            <w:r>
              <w:t xml:space="preserve">        г) к</w:t>
            </w:r>
            <w:r w:rsidRPr="00221257">
              <w:rPr>
                <w:lang w:eastAsia="ru-RU"/>
              </w:rPr>
              <w:t>омплекты спецодежды</w:t>
            </w:r>
            <w:r>
              <w:rPr>
                <w:lang w:eastAsia="ru-RU"/>
              </w:rPr>
              <w:t xml:space="preserve"> и СИЗ</w:t>
            </w:r>
            <w:r w:rsidRPr="00221257">
              <w:rPr>
                <w:lang w:eastAsia="ru-RU"/>
              </w:rPr>
              <w:t xml:space="preserve"> для работников, занятых на выполнении работ на высоте </w:t>
            </w:r>
            <w:r>
              <w:rPr>
                <w:lang w:eastAsia="ru-RU"/>
              </w:rPr>
              <w:t xml:space="preserve">(каски, монтажные пояса и т.п.), </w:t>
            </w:r>
            <w:r w:rsidRPr="003F0335">
              <w:rPr>
                <w:rFonts w:eastAsia="SimSun" w:cs="Mangal"/>
                <w:lang w:eastAsia="hi-IN" w:bidi="hi-IN"/>
              </w:rPr>
              <w:t>соответствующую производственную базу: необходимый для выполнения работ инструмент, материалы, приспособления, г/п оснастку и т.п.;</w:t>
            </w:r>
          </w:p>
          <w:p w14:paraId="2FED1100" w14:textId="77777777" w:rsidR="00583BBD" w:rsidRDefault="00583BBD" w:rsidP="00583BBD">
            <w:pPr>
              <w:tabs>
                <w:tab w:val="left" w:pos="357"/>
                <w:tab w:val="left" w:pos="507"/>
              </w:tabs>
              <w:contextualSpacing/>
              <w:jc w:val="both"/>
              <w:rPr>
                <w:lang w:eastAsia="ru-RU"/>
              </w:rPr>
            </w:pPr>
            <w:r>
              <w:t xml:space="preserve">        3. </w:t>
            </w:r>
            <w:r>
              <w:rPr>
                <w:lang w:eastAsia="ru-RU"/>
              </w:rPr>
              <w:t>Перед началом выполнения работ по экспертизе промышленной безопасности необходимо предоставить копии следующих документов, заверенных руководителем организации:</w:t>
            </w:r>
          </w:p>
          <w:p w14:paraId="34B20677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- </w:t>
            </w:r>
            <w:r w:rsidRPr="00F000D7">
              <w:rPr>
                <w:lang w:eastAsia="ru-RU"/>
              </w:rPr>
              <w:t>копии квалификационных удостоверений эксперта и (или) экспертов, аттестованных в соответствии с Положением об аттестации экспертов в об</w:t>
            </w:r>
            <w:r>
              <w:rPr>
                <w:lang w:eastAsia="ru-RU"/>
              </w:rPr>
              <w:t>ласти промышленной безопасности;</w:t>
            </w:r>
          </w:p>
          <w:p w14:paraId="2CAED86D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- копия</w:t>
            </w:r>
            <w:r w:rsidRPr="00F000D7">
              <w:rPr>
                <w:lang w:eastAsia="ru-RU"/>
              </w:rPr>
              <w:t xml:space="preserve"> квалификационн</w:t>
            </w:r>
            <w:r>
              <w:rPr>
                <w:lang w:eastAsia="ru-RU"/>
              </w:rPr>
              <w:t xml:space="preserve">ого удостоверения </w:t>
            </w:r>
            <w:r w:rsidRPr="00033F7B">
              <w:t>специалист</w:t>
            </w:r>
            <w:r>
              <w:t>а</w:t>
            </w:r>
            <w:r w:rsidRPr="00033F7B">
              <w:t xml:space="preserve"> по обследованию строительных конструкций</w:t>
            </w:r>
            <w:r>
              <w:t>;</w:t>
            </w:r>
          </w:p>
          <w:p w14:paraId="4AB1953B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- </w:t>
            </w:r>
            <w:r w:rsidRPr="00F000D7">
              <w:rPr>
                <w:lang w:eastAsia="ru-RU"/>
              </w:rPr>
              <w:t>копию документа, подтверждающего нахождения одного и (или) нескольких экспертов в штате экспертной организации (копию трудовой книжки)</w:t>
            </w:r>
            <w:r>
              <w:rPr>
                <w:lang w:eastAsia="ru-RU"/>
              </w:rPr>
              <w:t>;</w:t>
            </w:r>
          </w:p>
          <w:p w14:paraId="19B6C4CA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- </w:t>
            </w:r>
            <w:r w:rsidRPr="00F000D7">
              <w:rPr>
                <w:lang w:eastAsia="ru-RU"/>
              </w:rPr>
              <w:t>копии трудовых договоров или соглашений на остальных экспертов, занятых при проведении экспертизы (для которых работа в организации не является основной)</w:t>
            </w:r>
            <w:r>
              <w:rPr>
                <w:lang w:eastAsia="ru-RU"/>
              </w:rPr>
              <w:t>;</w:t>
            </w:r>
          </w:p>
          <w:p w14:paraId="13A83062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- копия</w:t>
            </w:r>
            <w:r w:rsidRPr="00500E44">
              <w:rPr>
                <w:lang w:eastAsia="ru-RU"/>
              </w:rPr>
              <w:t xml:space="preserve"> свидетельства об аттестации ЛНК со всеми приложениями, в которых должны быть определены область аттестации ЛНК и методы контроля, на которые аттестована лаборатория</w:t>
            </w:r>
            <w:r>
              <w:rPr>
                <w:lang w:eastAsia="ru-RU"/>
              </w:rPr>
              <w:t>;</w:t>
            </w:r>
          </w:p>
          <w:p w14:paraId="3654DF84" w14:textId="77777777" w:rsidR="00583BBD" w:rsidRDefault="00583BBD" w:rsidP="00583BBD">
            <w:pPr>
              <w:contextualSpacing/>
              <w:jc w:val="both"/>
            </w:pPr>
            <w:r>
              <w:rPr>
                <w:lang w:eastAsia="ru-RU"/>
              </w:rPr>
              <w:t xml:space="preserve">         - </w:t>
            </w:r>
            <w:r w:rsidRPr="00486190">
              <w:t>копии удостоверений специалистов в области неразрушающего контроля, в соответствии с областью аттестации ЛНК</w:t>
            </w:r>
            <w:r>
              <w:t>;</w:t>
            </w:r>
          </w:p>
          <w:p w14:paraId="710FA277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t xml:space="preserve">         - </w:t>
            </w:r>
            <w:r w:rsidRPr="007A68E2">
              <w:rPr>
                <w:lang w:eastAsia="ru-RU"/>
              </w:rPr>
              <w:t>копии медицинских справок о допуске специалистов к выполнению работ на высоте, заверенные р</w:t>
            </w:r>
            <w:r>
              <w:rPr>
                <w:lang w:eastAsia="ru-RU"/>
              </w:rPr>
              <w:t>уководителем организации по форме согласно приказу МЗ и СР РФ № 302 от 12.04.11г (</w:t>
            </w:r>
            <w:r w:rsidRPr="00433D78">
              <w:rPr>
                <w:lang w:eastAsia="ru-RU"/>
              </w:rPr>
              <w:t>ред. от 06.02.2018</w:t>
            </w:r>
            <w:r>
              <w:rPr>
                <w:lang w:eastAsia="ru-RU"/>
              </w:rPr>
              <w:t>);</w:t>
            </w:r>
          </w:p>
          <w:p w14:paraId="7FD8B56C" w14:textId="77777777" w:rsidR="00583BBD" w:rsidRPr="00BB469B" w:rsidRDefault="00583BBD" w:rsidP="00583BBD">
            <w:pPr>
              <w:widowControl w:val="0"/>
              <w:suppressLineNumbers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lang w:eastAsia="hi-IN" w:bidi="hi-IN"/>
              </w:rPr>
              <w:t>4. </w:t>
            </w:r>
            <w:r w:rsidRPr="00BB469B">
              <w:rPr>
                <w:rFonts w:eastAsia="SimSun" w:cs="Mangal"/>
                <w:lang w:eastAsia="hi-IN" w:bidi="hi-IN"/>
              </w:rPr>
              <w:t>При оказании услуг на территории Заказчика, в условиях действующего ОПО, услуги, работы оказываются обученным и аттестованным персоналом «Исполнителя», согласно требованиям, п.2. статьи ФЗ от 21.07.1997г. №116-ФЗ «О Промышленной безопасности ОПО», имеющих право оказывать услуги на ОПО Заказчика за:</w:t>
            </w:r>
          </w:p>
          <w:p w14:paraId="37B4FCBA" w14:textId="77777777" w:rsidR="00583BBD" w:rsidRPr="00BB469B" w:rsidRDefault="00583BBD" w:rsidP="00583BBD">
            <w:pPr>
              <w:widowControl w:val="0"/>
              <w:suppressLineNumbers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BB469B">
              <w:rPr>
                <w:rFonts w:eastAsia="SimSun" w:cs="Mangal"/>
                <w:lang w:eastAsia="hi-IN" w:bidi="hi-IN"/>
              </w:rPr>
              <w:t>- квалификацию, дисциплину работников, выполняющих услуги, работы;</w:t>
            </w:r>
          </w:p>
          <w:p w14:paraId="3550353A" w14:textId="77777777" w:rsidR="00583BBD" w:rsidRDefault="00583BBD" w:rsidP="00583BBD">
            <w:pPr>
              <w:widowControl w:val="0"/>
              <w:suppressLineNumbers/>
              <w:jc w:val="both"/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lang w:eastAsia="hi-IN" w:bidi="hi-IN"/>
              </w:rPr>
              <w:t xml:space="preserve">         </w:t>
            </w:r>
            <w:r w:rsidRPr="00BB469B">
              <w:rPr>
                <w:rFonts w:eastAsia="SimSun" w:cs="Mangal"/>
                <w:lang w:eastAsia="hi-IN" w:bidi="hi-IN"/>
              </w:rPr>
              <w:t>- соблюдением правил безопасности, охраны труда, пожарной безопасности и санитарно-гигиенического режима</w:t>
            </w:r>
            <w:r>
              <w:rPr>
                <w:rFonts w:eastAsia="SimSun" w:cs="Mangal"/>
                <w:lang w:eastAsia="hi-IN" w:bidi="hi-IN"/>
              </w:rPr>
              <w:t>.</w:t>
            </w:r>
          </w:p>
          <w:p w14:paraId="6116BAC0" w14:textId="77777777" w:rsidR="00583BBD" w:rsidRDefault="00583BBD" w:rsidP="00583BBD">
            <w:pPr>
              <w:widowControl w:val="0"/>
              <w:suppressLineNumbers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lang w:eastAsia="hi-IN" w:bidi="hi-IN"/>
              </w:rPr>
              <w:t>5. </w:t>
            </w:r>
            <w:r w:rsidRPr="00EA6680">
              <w:rPr>
                <w:rFonts w:eastAsia="SimSun" w:cs="Mangal"/>
                <w:lang w:eastAsia="hi-IN" w:bidi="hi-IN"/>
              </w:rPr>
              <w:t>Исполнитель несет ответственность за ущерб, причиненный в ходе выполнения работ людям, зданиям, сооружениям, оборудованию, окружающей среде, за несоблюдение требований охраны труда, пожарной и промышленной безопасности в процессе оказания услуг.</w:t>
            </w:r>
          </w:p>
          <w:p w14:paraId="1D6EB763" w14:textId="1705C722" w:rsidR="000135D6" w:rsidRPr="000135D6" w:rsidRDefault="00583BBD" w:rsidP="000135D6">
            <w:pPr>
              <w:widowControl w:val="0"/>
              <w:suppressLineNumbers/>
              <w:jc w:val="both"/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lang w:eastAsia="hi-IN" w:bidi="hi-IN"/>
              </w:rPr>
              <w:t xml:space="preserve">        6. </w:t>
            </w:r>
            <w:r w:rsidRPr="00EA6680">
              <w:rPr>
                <w:rFonts w:eastAsia="SimSun" w:cs="Mangal"/>
                <w:lang w:eastAsia="hi-IN" w:bidi="hi-IN"/>
              </w:rPr>
              <w:t xml:space="preserve">Работы выполняются в </w:t>
            </w:r>
            <w:r>
              <w:rPr>
                <w:rFonts w:eastAsia="SimSun" w:cs="Mangal"/>
                <w:lang w:eastAsia="hi-IN" w:bidi="hi-IN"/>
              </w:rPr>
              <w:t xml:space="preserve">рабочее время (с 7:20 по 16:15), </w:t>
            </w:r>
            <w:r w:rsidRPr="00EA6680">
              <w:rPr>
                <w:rFonts w:eastAsia="SimSun" w:cs="Mangal"/>
                <w:lang w:eastAsia="hi-IN" w:bidi="hi-IN"/>
              </w:rPr>
              <w:t>согласно графику производства работ, зара</w:t>
            </w:r>
            <w:r>
              <w:rPr>
                <w:rFonts w:eastAsia="SimSun" w:cs="Mangal"/>
                <w:lang w:eastAsia="hi-IN" w:bidi="hi-IN"/>
              </w:rPr>
              <w:t>нее согласованного с Заказчиком.</w:t>
            </w:r>
          </w:p>
        </w:tc>
      </w:tr>
      <w:tr w:rsidR="000135D6" w:rsidRPr="00C363D8" w14:paraId="7EBE6170" w14:textId="77777777" w:rsidTr="00583BBD">
        <w:trPr>
          <w:trHeight w:val="78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EE4733" w14:textId="7B7AEBB4" w:rsidR="000135D6" w:rsidRDefault="000135D6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lastRenderedPageBreak/>
              <w:t>5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2E4FF7" w14:textId="67E947F8" w:rsidR="000135D6" w:rsidRPr="00AA3E48" w:rsidRDefault="000135D6" w:rsidP="00A911F4">
            <w:pPr>
              <w:widowControl w:val="0"/>
              <w:suppressLineNumbers/>
              <w:spacing w:line="276" w:lineRule="auto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0135D6">
              <w:rPr>
                <w:rFonts w:eastAsia="SimSun" w:cs="Mangal"/>
                <w:b/>
                <w:lang w:eastAsia="hi-IN" w:bidi="hi-I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</w:tr>
      <w:tr w:rsidR="000135D6" w:rsidRPr="00C363D8" w14:paraId="4B0BE19B" w14:textId="77777777" w:rsidTr="00AF7667">
        <w:trPr>
          <w:trHeight w:val="313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16F499" w14:textId="46808E8A" w:rsidR="000135D6" w:rsidRPr="00B23D5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Экспертиза промышленной безопасности проводится на основании и в соответствии с:</w:t>
            </w:r>
          </w:p>
          <w:p w14:paraId="42B24E6D" w14:textId="5484D75B" w:rsidR="000135D6" w:rsidRPr="00B23D5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1. Федеральным законом №116-ФЗ «О промышленной безопасности опасных производственных объектов» от 21.07.1997г. (в ред. от 29.07.2018г);</w:t>
            </w:r>
          </w:p>
          <w:p w14:paraId="4D7771F4" w14:textId="3E3D7630" w:rsidR="000135D6" w:rsidRPr="00B23D5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2. Приказом Федеральной службы по экологическому, технологическому и атомному надзору № 420 от 20.10.2020г «Об утверждении Федеральных норм и правил в области промышленной безопасности «Правила проведения экспертизы промышленной безопасности»;</w:t>
            </w:r>
          </w:p>
          <w:p w14:paraId="7A5B8CFB" w14:textId="31EB6B47" w:rsidR="000135D6" w:rsidRPr="00A1536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lastRenderedPageBreak/>
              <w:t>3. </w:t>
            </w:r>
            <w:r w:rsidRPr="00915F11">
              <w:rPr>
                <w:snapToGrid w:val="0"/>
                <w:szCs w:val="26"/>
              </w:rPr>
              <w:t>«Правила безопасности опасных производственных объектов, на которых используются подъемные сооружения», утвержденных приказом Ростехнадзора от 26.11.2020г. № 461</w:t>
            </w:r>
            <w:r>
              <w:rPr>
                <w:snapToGrid w:val="0"/>
                <w:szCs w:val="26"/>
              </w:rPr>
              <w:t xml:space="preserve"> </w:t>
            </w:r>
            <w:r w:rsidRPr="007B232C">
              <w:rPr>
                <w:snapToGrid w:val="0"/>
                <w:szCs w:val="26"/>
              </w:rPr>
              <w:t xml:space="preserve">(с изменениями на 22 января 2024 года) </w:t>
            </w:r>
            <w:r>
              <w:rPr>
                <w:snapToGrid w:val="0"/>
                <w:szCs w:val="26"/>
              </w:rPr>
              <w:t>п. 257 (далее ФНП «ПБ ОПО ПС»).</w:t>
            </w:r>
          </w:p>
          <w:p w14:paraId="253C763E" w14:textId="43CC87A1" w:rsidR="000135D6" w:rsidRPr="00B23D5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4. Общими требованиями РД10-112-5-97 «Методических указаний по обследованию грузоподъёмных машин с истекшим сроком службы»;</w:t>
            </w:r>
          </w:p>
          <w:p w14:paraId="1B90E225" w14:textId="666715E5" w:rsidR="000135D6" w:rsidRPr="00B23D51" w:rsidRDefault="000135D6" w:rsidP="000135D6">
            <w:pPr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5. Порядком экспертного обследования грузоподъёмных машин РД10-112-1-04 «Рекомендаций по экспертному обследованию грузоподъёмных машин»;</w:t>
            </w:r>
          </w:p>
          <w:p w14:paraId="2EA3554B" w14:textId="2CD1693A" w:rsidR="000135D6" w:rsidRPr="000135D6" w:rsidRDefault="000135D6" w:rsidP="000135D6">
            <w:pPr>
              <w:widowControl w:val="0"/>
              <w:suppressLineNumbers/>
              <w:spacing w:line="276" w:lineRule="auto"/>
              <w:ind w:firstLine="516"/>
              <w:jc w:val="both"/>
              <w:rPr>
                <w:snapToGrid w:val="0"/>
                <w:szCs w:val="26"/>
              </w:rPr>
            </w:pPr>
            <w:r w:rsidRPr="00B23D51">
              <w:rPr>
                <w:snapToGrid w:val="0"/>
                <w:szCs w:val="26"/>
              </w:rPr>
              <w:t>6. «Методические рекомендации по экспертному обследованию грузоподъемных машин» РД 10-112-2-09.</w:t>
            </w:r>
          </w:p>
        </w:tc>
      </w:tr>
      <w:tr w:rsidR="00583BBD" w:rsidRPr="00C363D8" w14:paraId="1B8DA345" w14:textId="77777777" w:rsidTr="00583BBD">
        <w:trPr>
          <w:trHeight w:val="132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BCEDA3" w14:textId="55817FB2" w:rsidR="00583BBD" w:rsidRPr="00583BBD" w:rsidRDefault="00583BBD" w:rsidP="00583BBD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lastRenderedPageBreak/>
              <w:t>6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65918C" w14:textId="121B4E36" w:rsidR="00583BBD" w:rsidRPr="00B23D51" w:rsidRDefault="00583BBD" w:rsidP="00583BBD">
            <w:pPr>
              <w:widowControl w:val="0"/>
              <w:suppressLineNumbers/>
              <w:spacing w:line="276" w:lineRule="auto"/>
              <w:jc w:val="center"/>
              <w:rPr>
                <w:snapToGrid w:val="0"/>
                <w:szCs w:val="26"/>
              </w:rPr>
            </w:pPr>
            <w:r w:rsidRPr="00583BBD">
              <w:rPr>
                <w:rFonts w:eastAsia="SimSun" w:cs="Mangal"/>
                <w:b/>
                <w:lang w:eastAsia="hi-IN" w:bidi="hi-IN"/>
              </w:rPr>
              <w:t>Требования к распределению прав на результаты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возникшие в связи с выполнением работ/оказанием услуг</w:t>
            </w:r>
          </w:p>
        </w:tc>
      </w:tr>
      <w:tr w:rsidR="00583BBD" w:rsidRPr="00C363D8" w14:paraId="7D59F6EF" w14:textId="77777777" w:rsidTr="00AF7667">
        <w:trPr>
          <w:trHeight w:val="313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76D86F" w14:textId="15A8EA27" w:rsidR="00583BBD" w:rsidRPr="00B23D51" w:rsidRDefault="00583BBD" w:rsidP="000135D6">
            <w:pPr>
              <w:ind w:firstLine="516"/>
              <w:jc w:val="both"/>
              <w:rPr>
                <w:snapToGrid w:val="0"/>
                <w:szCs w:val="26"/>
              </w:rPr>
            </w:pPr>
            <w:r>
              <w:rPr>
                <w:snapToGrid w:val="0"/>
                <w:szCs w:val="26"/>
              </w:rPr>
              <w:t>1. Нет.</w:t>
            </w:r>
          </w:p>
        </w:tc>
      </w:tr>
      <w:tr w:rsidR="00B23D51" w:rsidRPr="00C363D8" w14:paraId="4A3763F3" w14:textId="77777777" w:rsidTr="00B23D51">
        <w:trPr>
          <w:trHeight w:val="31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B2E882" w14:textId="5DCF3D5B" w:rsidR="00B23D51" w:rsidRPr="003F0335" w:rsidRDefault="000135D6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t>7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8EB15F" w14:textId="37A9CE37" w:rsidR="00B23D51" w:rsidRPr="00AA3E48" w:rsidRDefault="000135D6" w:rsidP="00A911F4">
            <w:pPr>
              <w:widowControl w:val="0"/>
              <w:suppressLineNumbers/>
              <w:spacing w:line="276" w:lineRule="auto"/>
              <w:jc w:val="center"/>
              <w:rPr>
                <w:rFonts w:eastAsia="SimSun" w:cs="Mangal"/>
                <w:b/>
                <w:i/>
                <w:lang w:eastAsia="hi-IN" w:bidi="hi-IN"/>
              </w:rPr>
            </w:pPr>
            <w:r w:rsidRPr="000135D6">
              <w:rPr>
                <w:rFonts w:eastAsia="SimSun" w:cs="Mangal"/>
                <w:b/>
                <w:lang w:eastAsia="hi-IN" w:bidi="hi-IN"/>
              </w:rPr>
              <w:t>Место выполнения работ/оказания услуг</w:t>
            </w:r>
          </w:p>
        </w:tc>
      </w:tr>
      <w:tr w:rsidR="00B23D51" w:rsidRPr="00C363D8" w14:paraId="54044FAA" w14:textId="77777777" w:rsidTr="00A911F4">
        <w:trPr>
          <w:trHeight w:val="619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024455" w14:textId="2829945F" w:rsidR="00B23D51" w:rsidRPr="00927D92" w:rsidRDefault="00B23D51" w:rsidP="000135D6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1C199B">
              <w:t>90121</w:t>
            </w:r>
            <w:r>
              <w:t>, г. Санкт-Петербург, наб. реки Фонтанки 203 лит. АД, ДЯ, Глубоководная набережная, Достроечная набережная, Стапельный участок, Транспортный участок, участок металлолома</w:t>
            </w:r>
            <w:r w:rsidR="000135D6">
              <w:t>.</w:t>
            </w:r>
          </w:p>
        </w:tc>
      </w:tr>
      <w:tr w:rsidR="000135D6" w:rsidRPr="00C363D8" w14:paraId="107ED188" w14:textId="77777777" w:rsidTr="00583BBD">
        <w:trPr>
          <w:trHeight w:val="27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DCC1D0" w14:textId="5BB4601D" w:rsidR="000135D6" w:rsidRPr="000135D6" w:rsidRDefault="00583BBD" w:rsidP="000135D6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t>8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FB086B" w14:textId="4B278067" w:rsidR="000135D6" w:rsidRPr="000135D6" w:rsidRDefault="000135D6" w:rsidP="000135D6">
            <w:pPr>
              <w:widowControl w:val="0"/>
              <w:suppressLineNumbers/>
              <w:snapToGrid w:val="0"/>
              <w:ind w:right="52" w:firstLine="513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0135D6">
              <w:rPr>
                <w:rFonts w:eastAsia="SimSun" w:cs="Mangal"/>
                <w:b/>
                <w:lang w:eastAsia="hi-IN" w:bidi="hi-IN"/>
              </w:rPr>
              <w:t>Сроки выполнения работ/оказания услуг</w:t>
            </w:r>
          </w:p>
        </w:tc>
      </w:tr>
      <w:tr w:rsidR="000135D6" w:rsidRPr="00C363D8" w14:paraId="6FB28761" w14:textId="77777777" w:rsidTr="00583BBD">
        <w:trPr>
          <w:trHeight w:val="325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7C6EC5" w14:textId="33FEBB0B" w:rsidR="00583BBD" w:rsidRDefault="00583BBD" w:rsidP="00583BBD">
            <w:pPr>
              <w:widowControl w:val="0"/>
              <w:suppressLineNumbers/>
              <w:spacing w:line="276" w:lineRule="auto"/>
              <w:ind w:firstLine="516"/>
              <w:jc w:val="both"/>
            </w:pPr>
            <w:r>
              <w:t xml:space="preserve">1. </w:t>
            </w:r>
            <w:r w:rsidR="000135D6">
              <w:t>Срок выполнения работ – в соответствии с Графиком (Приложение № 1)</w:t>
            </w:r>
            <w:r>
              <w:t xml:space="preserve">, до </w:t>
            </w:r>
            <w:r w:rsidRPr="00583BBD">
              <w:rPr>
                <w:b/>
              </w:rPr>
              <w:t>30.07.2025г</w:t>
            </w:r>
          </w:p>
        </w:tc>
      </w:tr>
      <w:tr w:rsidR="00583BBD" w:rsidRPr="00C363D8" w14:paraId="1E538795" w14:textId="77777777" w:rsidTr="00583BBD">
        <w:trPr>
          <w:trHeight w:val="31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508ED6" w14:textId="75B5174C" w:rsidR="00583BBD" w:rsidRPr="00583BBD" w:rsidRDefault="00583BBD" w:rsidP="00583BBD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t>9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E9B864" w14:textId="37B59E5D" w:rsidR="00583BBD" w:rsidRPr="00583BBD" w:rsidRDefault="00583BBD" w:rsidP="00583BBD">
            <w:pPr>
              <w:widowControl w:val="0"/>
              <w:suppressLineNumbers/>
              <w:snapToGrid w:val="0"/>
              <w:ind w:right="52" w:firstLine="513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583BBD">
              <w:rPr>
                <w:rFonts w:eastAsia="SimSun" w:cs="Mangal"/>
                <w:b/>
                <w:lang w:eastAsia="hi-IN" w:bidi="hi-IN"/>
              </w:rPr>
              <w:t>Проектно-сметная документация</w:t>
            </w:r>
          </w:p>
        </w:tc>
      </w:tr>
      <w:tr w:rsidR="00583BBD" w:rsidRPr="00C363D8" w14:paraId="3CCCE204" w14:textId="77777777" w:rsidTr="00583BBD">
        <w:trPr>
          <w:trHeight w:val="324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8C05F1" w14:textId="1856F405" w:rsidR="00583BBD" w:rsidRDefault="00583BBD" w:rsidP="00583BBD">
            <w:pPr>
              <w:widowControl w:val="0"/>
              <w:suppressLineNumbers/>
              <w:spacing w:line="276" w:lineRule="auto"/>
              <w:ind w:firstLine="516"/>
              <w:jc w:val="both"/>
            </w:pPr>
            <w:r>
              <w:t>1. Нет</w:t>
            </w:r>
          </w:p>
        </w:tc>
      </w:tr>
      <w:tr w:rsidR="00B23D51" w:rsidRPr="00B358B4" w14:paraId="63F71E93" w14:textId="77777777" w:rsidTr="00583BBD">
        <w:trPr>
          <w:trHeight w:val="31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70FDFB" w14:textId="7406875C" w:rsidR="00B23D51" w:rsidRPr="00EA6680" w:rsidRDefault="00B23D51" w:rsidP="00583BBD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AA3E48">
              <w:rPr>
                <w:rFonts w:eastAsia="SimSun" w:cs="Mangal"/>
                <w:b/>
                <w:lang w:eastAsia="hi-IN" w:bidi="hi-IN"/>
              </w:rPr>
              <w:t xml:space="preserve"> </w:t>
            </w:r>
            <w:r w:rsidR="00583BBD">
              <w:rPr>
                <w:rFonts w:eastAsia="SimSun" w:cs="Mangal"/>
                <w:b/>
                <w:lang w:eastAsia="hi-IN" w:bidi="hi-IN"/>
              </w:rPr>
              <w:t>10</w:t>
            </w:r>
          </w:p>
        </w:tc>
        <w:tc>
          <w:tcPr>
            <w:tcW w:w="9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CC5C20" w14:textId="1013C708" w:rsidR="00B23D51" w:rsidRPr="00BB469B" w:rsidRDefault="00583BBD" w:rsidP="00A911F4">
            <w:pPr>
              <w:widowControl w:val="0"/>
              <w:spacing w:before="60" w:after="60" w:line="100" w:lineRule="atLeast"/>
              <w:jc w:val="center"/>
              <w:rPr>
                <w:rFonts w:eastAsia="SimSun"/>
                <w:b/>
                <w:lang w:eastAsia="hi-IN" w:bidi="hi-IN"/>
              </w:rPr>
            </w:pPr>
            <w:r w:rsidRPr="00583BBD">
              <w:rPr>
                <w:rFonts w:eastAsia="SimSun" w:cs="Mangal"/>
                <w:b/>
                <w:lang w:eastAsia="hi-IN" w:bidi="hi-IN"/>
              </w:rPr>
              <w:t>Перечень видов и объем работ/услуг</w:t>
            </w:r>
          </w:p>
        </w:tc>
      </w:tr>
      <w:tr w:rsidR="00B23D51" w:rsidRPr="00B358B4" w14:paraId="5E844535" w14:textId="77777777" w:rsidTr="00A911F4">
        <w:trPr>
          <w:trHeight w:val="450"/>
        </w:trPr>
        <w:tc>
          <w:tcPr>
            <w:tcW w:w="9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A1812C" w14:textId="6E230856" w:rsidR="00B23D51" w:rsidRPr="000135D6" w:rsidRDefault="00B23D51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1. Объем работы по экспертизе промышленной безопасности регистрируемого в органах Ростехнадзора грузоподъемного оборудования (далее ПС) с истекшим нормативным сроком службы на 2025 год определяется в соответствии с разработанным графиком (Приложение №1). ПС, указанные в графике проведения экспертизы промышленной безопасности, располагаются на следующих опасных производственных объектах (далее ОПО):</w:t>
            </w:r>
          </w:p>
          <w:p w14:paraId="09E55E6A" w14:textId="5EACB500" w:rsidR="00B23D51" w:rsidRPr="000135D6" w:rsidRDefault="00B23D51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- Площадка портального крана глубоководной набережной №А19-01680-0014 IV класс опасности;</w:t>
            </w:r>
          </w:p>
          <w:p w14:paraId="3F63AB80" w14:textId="60FFAE68" w:rsidR="00B23D51" w:rsidRPr="000135D6" w:rsidRDefault="00B23D51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- Площадка портального крана достроечной набережной №А19-01680-0013 IV класс опасности;</w:t>
            </w:r>
          </w:p>
          <w:p w14:paraId="6DB720AB" w14:textId="77777777" w:rsidR="00B23D51" w:rsidRPr="000135D6" w:rsidRDefault="00B23D51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- Площадка портального крана стапельного участка №А19-01680-0015 IV класс опасности;</w:t>
            </w:r>
          </w:p>
          <w:p w14:paraId="256D31CA" w14:textId="77777777" w:rsidR="00B23D51" w:rsidRPr="000135D6" w:rsidRDefault="00B23D51" w:rsidP="000135D6">
            <w:pPr>
              <w:ind w:firstLine="513"/>
              <w:jc w:val="both"/>
              <w:rPr>
                <w:snapToGrid w:val="0"/>
                <w:szCs w:val="26"/>
              </w:rPr>
            </w:pPr>
            <w:r w:rsidRPr="000135D6">
              <w:rPr>
                <w:snapToGrid w:val="0"/>
                <w:szCs w:val="26"/>
              </w:rPr>
              <w:t>- Участок транспортный №А19-01680-0012 IV класс опасности;</w:t>
            </w:r>
          </w:p>
          <w:p w14:paraId="691BDAFC" w14:textId="77777777" w:rsidR="00B23D51" w:rsidRPr="00D076AE" w:rsidRDefault="00B23D51" w:rsidP="00A911F4">
            <w:pPr>
              <w:ind w:firstLine="516"/>
              <w:jc w:val="both"/>
            </w:pPr>
            <w:r>
              <w:t xml:space="preserve">- Сеть газопотребления №А19-01680-0015 </w:t>
            </w:r>
            <w:r>
              <w:rPr>
                <w:lang w:val="en-US"/>
              </w:rPr>
              <w:t>III</w:t>
            </w:r>
            <w:r>
              <w:t xml:space="preserve"> класс опасности;</w:t>
            </w:r>
          </w:p>
          <w:p w14:paraId="6CACF61F" w14:textId="77777777" w:rsidR="00B23D51" w:rsidRDefault="00B23D51" w:rsidP="00A911F4">
            <w:pPr>
              <w:suppressAutoHyphens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 При проведении экспертизы ПС выполняются:</w:t>
            </w:r>
          </w:p>
          <w:p w14:paraId="426AF7C7" w14:textId="77777777" w:rsidR="00B23D51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      </w:r>
          </w:p>
          <w:p w14:paraId="1CB05228" w14:textId="77777777" w:rsidR="00B23D51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б) расчетные и аналитические процедуры оценки и прогнозирования технического состояния технических устройств (в случаях, при которых проводится техническое диагностирование технических устройств).</w:t>
            </w:r>
          </w:p>
          <w:p w14:paraId="334C793C" w14:textId="77777777" w:rsidR="00B23D51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3. При проведении экспертизы промышленной безопасности проводится техническое диагностирование ПС, которое должно включать:</w:t>
            </w:r>
          </w:p>
          <w:p w14:paraId="17D3CF30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а) визуальный и измерительный контроль;</w:t>
            </w:r>
          </w:p>
          <w:p w14:paraId="33C0167E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lastRenderedPageBreak/>
              <w:t>б) оперативное (функциональное) диагностирование для получения информации о состоянии, фактических параметрах работы, фактического нагружения технического устройства в реальных условиях эксплуатации;</w:t>
            </w:r>
          </w:p>
          <w:p w14:paraId="6B2BA022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в) определение действующих повреждающих факторов, механизмов повреждения и восприимчивости материала технического устройства к механизмам повреждения;</w:t>
            </w:r>
          </w:p>
          <w:p w14:paraId="03AB39AF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г) оценку качества соединений элементов техни</w:t>
            </w:r>
            <w:r>
              <w:rPr>
                <w:kern w:val="0"/>
                <w:lang w:eastAsia="ru-RU"/>
              </w:rPr>
              <w:t>ческого устройства</w:t>
            </w:r>
            <w:r w:rsidRPr="00787CF7">
              <w:rPr>
                <w:kern w:val="0"/>
                <w:lang w:eastAsia="ru-RU"/>
              </w:rPr>
              <w:t>;</w:t>
            </w:r>
          </w:p>
          <w:p w14:paraId="5AD08F77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д) выбор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      </w:r>
          </w:p>
          <w:p w14:paraId="0E1CBE78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е) неразрушающий контроль или разрушающий контроль металла и сварных соединений техни</w:t>
            </w:r>
            <w:r>
              <w:rPr>
                <w:kern w:val="0"/>
                <w:lang w:eastAsia="ru-RU"/>
              </w:rPr>
              <w:t>ческого устройства</w:t>
            </w:r>
            <w:r w:rsidRPr="00787CF7">
              <w:rPr>
                <w:kern w:val="0"/>
                <w:lang w:eastAsia="ru-RU"/>
              </w:rPr>
              <w:t>;</w:t>
            </w:r>
          </w:p>
          <w:p w14:paraId="7FC3CD31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ж) оценку выявленных дефектов на основании результатов визуального и измерительного контроля, методов неразрушающего или разрушающего контроля;</w:t>
            </w:r>
          </w:p>
          <w:p w14:paraId="15A3DB92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з) исследование материалов технического устройства;</w:t>
            </w:r>
          </w:p>
          <w:p w14:paraId="4A2B32CD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и)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      </w:r>
          </w:p>
          <w:p w14:paraId="7648B63D" w14:textId="77777777" w:rsidR="00B23D51" w:rsidRPr="00787CF7" w:rsidRDefault="00B23D51" w:rsidP="00A911F4">
            <w:pPr>
              <w:suppressAutoHyphens w:val="0"/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kern w:val="0"/>
                <w:lang w:eastAsia="ru-RU"/>
              </w:rPr>
            </w:pPr>
            <w:r w:rsidRPr="00787CF7">
              <w:rPr>
                <w:kern w:val="0"/>
                <w:lang w:eastAsia="ru-RU"/>
              </w:rPr>
              <w:t>к) оценку остаточного ресурса (срока службы).</w:t>
            </w:r>
          </w:p>
        </w:tc>
      </w:tr>
      <w:tr w:rsidR="00B23D51" w:rsidRPr="00C363D8" w14:paraId="7CDC8102" w14:textId="77777777" w:rsidTr="00B23D5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5FF69F" w14:textId="1BFFD258" w:rsidR="00B23D51" w:rsidRPr="00364A5B" w:rsidRDefault="00583BBD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lastRenderedPageBreak/>
              <w:t>11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84E89B" w14:textId="61C0E6B3" w:rsidR="00B23D51" w:rsidRPr="00AA3E48" w:rsidRDefault="00583BBD" w:rsidP="00A911F4">
            <w:pPr>
              <w:widowControl w:val="0"/>
              <w:suppressLineNumbers/>
              <w:tabs>
                <w:tab w:val="left" w:pos="1695"/>
              </w:tabs>
              <w:spacing w:line="276" w:lineRule="auto"/>
              <w:jc w:val="center"/>
              <w:rPr>
                <w:rFonts w:eastAsia="SimSun" w:cs="Mangal"/>
                <w:b/>
                <w:i/>
                <w:lang w:eastAsia="hi-IN" w:bidi="hi-IN"/>
              </w:rPr>
            </w:pPr>
            <w:r w:rsidRPr="00AA3E48">
              <w:rPr>
                <w:b/>
                <w:bCs/>
                <w:color w:val="000000"/>
              </w:rPr>
              <w:t>Правила контроля и приемки работ</w:t>
            </w:r>
          </w:p>
        </w:tc>
      </w:tr>
      <w:tr w:rsidR="00B23D51" w:rsidRPr="00C363D8" w14:paraId="7C8E7710" w14:textId="77777777" w:rsidTr="00A911F4">
        <w:trPr>
          <w:trHeight w:val="281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C00D9C" w14:textId="77777777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1. Заказчик приказом по предприятию назначает ответственного специалиста за контролем объемов и сроков, а также сдачи-приемки выполненных работ </w:t>
            </w:r>
            <w:r>
              <w:t>по о</w:t>
            </w:r>
            <w:r w:rsidRPr="00AC6023">
              <w:rPr>
                <w:bCs/>
              </w:rPr>
              <w:t xml:space="preserve">бслуживанию приборов безопасности </w:t>
            </w:r>
            <w:r>
              <w:rPr>
                <w:lang w:eastAsia="ru-RU"/>
              </w:rPr>
              <w:t>ПС;</w:t>
            </w:r>
          </w:p>
          <w:p w14:paraId="324E2FD9" w14:textId="5B2BA1C8" w:rsidR="00B23D51" w:rsidRPr="003F0335" w:rsidRDefault="00583BBD" w:rsidP="00583BBD">
            <w:pPr>
              <w:widowControl w:val="0"/>
              <w:suppressLineNumbers/>
              <w:tabs>
                <w:tab w:val="left" w:pos="1695"/>
              </w:tabs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>
              <w:rPr>
                <w:lang w:eastAsia="ru-RU"/>
              </w:rPr>
              <w:t>2. Сдача-п</w:t>
            </w:r>
            <w:r w:rsidRPr="00FD40C1">
              <w:rPr>
                <w:lang w:eastAsia="ru-RU"/>
              </w:rPr>
              <w:t xml:space="preserve">риёмка выполненных работ проводится </w:t>
            </w:r>
            <w:r>
              <w:rPr>
                <w:lang w:eastAsia="ru-RU"/>
              </w:rPr>
              <w:t xml:space="preserve">на территории Заказчика. </w:t>
            </w:r>
            <w:r>
              <w:rPr>
                <w:lang w:eastAsia="ru-RU"/>
              </w:rPr>
              <w:t>П</w:t>
            </w:r>
            <w:r w:rsidRPr="00FD40C1">
              <w:rPr>
                <w:lang w:eastAsia="ru-RU"/>
              </w:rPr>
              <w:t xml:space="preserve">редставителями </w:t>
            </w:r>
            <w:r>
              <w:rPr>
                <w:lang w:eastAsia="ru-RU"/>
              </w:rPr>
              <w:t>Заказчика и Исполнителя проверяются объемы и качество оказанных услуг,</w:t>
            </w:r>
            <w:r w:rsidRPr="00FD40C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подписывается Акт</w:t>
            </w:r>
            <w:r w:rsidRPr="00FD40C1">
              <w:rPr>
                <w:lang w:eastAsia="ru-RU"/>
              </w:rPr>
              <w:t xml:space="preserve"> о выполненных работах.</w:t>
            </w:r>
          </w:p>
        </w:tc>
      </w:tr>
      <w:tr w:rsidR="00583BBD" w:rsidRPr="00C363D8" w14:paraId="0373AC99" w14:textId="77777777" w:rsidTr="00583BB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012D8F" w14:textId="5D859C5F" w:rsidR="00583BBD" w:rsidRPr="00583BBD" w:rsidRDefault="00583BBD" w:rsidP="00583BBD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583BBD">
              <w:rPr>
                <w:rFonts w:eastAsia="SimSun" w:cs="Mangal"/>
                <w:b/>
                <w:lang w:eastAsia="hi-IN" w:bidi="hi-IN"/>
              </w:rPr>
              <w:t>12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687C41" w14:textId="611CAC08" w:rsidR="00583BBD" w:rsidRPr="00583BBD" w:rsidRDefault="00583BBD" w:rsidP="00583BBD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583BBD">
              <w:rPr>
                <w:rFonts w:eastAsia="SimSun" w:cs="Mangal"/>
                <w:b/>
                <w:lang w:eastAsia="hi-IN" w:bidi="hi-IN"/>
              </w:rPr>
              <w:t>Требования по передаче технических и иных документов по факту выполнения работ/оказания услуг</w:t>
            </w:r>
          </w:p>
        </w:tc>
      </w:tr>
      <w:tr w:rsidR="00583BBD" w:rsidRPr="00C363D8" w14:paraId="7A1C459A" w14:textId="77777777" w:rsidTr="00A911F4">
        <w:trPr>
          <w:trHeight w:val="281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78540D" w14:textId="77777777" w:rsidR="00583BBD" w:rsidRPr="006B382A" w:rsidRDefault="00583BBD" w:rsidP="00583BBD">
            <w:pPr>
              <w:widowControl w:val="0"/>
              <w:spacing w:before="60" w:after="60" w:line="100" w:lineRule="atLeast"/>
              <w:ind w:firstLine="513"/>
              <w:jc w:val="both"/>
            </w:pPr>
            <w:r>
              <w:rPr>
                <w:rFonts w:eastAsia="SimSun" w:cs="Mangal"/>
                <w:lang w:eastAsia="hi-IN" w:bidi="hi-IN"/>
              </w:rPr>
              <w:t>1. </w:t>
            </w:r>
            <w:r>
              <w:t>По результатам проведения экспертизы промышленной безопасности ПС с истёкшим нормативным сроком службы Исполнитель предоставляет Заказчику заключение экспертизы промышленной безопасности в 2-х экземплярах на бумажном носителе и 1 экземпляр на электронном носителе (</w:t>
            </w:r>
            <w:r>
              <w:rPr>
                <w:lang w:val="en-US"/>
              </w:rPr>
              <w:t>USB</w:t>
            </w:r>
            <w:r w:rsidRPr="00D64012">
              <w:t>-</w:t>
            </w:r>
            <w:r>
              <w:t xml:space="preserve">флэш-накопитель). </w:t>
            </w:r>
            <w:r w:rsidRPr="008754D9">
              <w:rPr>
                <w:rFonts w:eastAsia="SimSun" w:cs="Mangal"/>
                <w:lang w:eastAsia="hi-IN" w:bidi="hi-IN"/>
              </w:rPr>
              <w:t>Заключение экспертизы должно содержать:</w:t>
            </w:r>
          </w:p>
          <w:p w14:paraId="513D1B96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1) титульный лист с указанием наименования заключения экспертизы;</w:t>
            </w:r>
          </w:p>
          <w:p w14:paraId="3058316B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2) вводную часть, включающую:</w:t>
            </w:r>
          </w:p>
          <w:p w14:paraId="426CAD3D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указание на конкретные структурные единицы нормативных правовых актов в области промышленной безопасности (пункт, подпункт, часть, статья) на соответствие которым проводится оценка соответствия объекта экспертизы;</w:t>
            </w:r>
          </w:p>
          <w:p w14:paraId="5E3ECF0E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сведения об экспертной организации (наименование организации, ее организационно-правовая форма, дата выдачи лицензии на деятельность по проведению экспертизы промышленной безопасности, ее номер);</w:t>
            </w:r>
          </w:p>
          <w:p w14:paraId="2A9A3A62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сведения об экспертах, принимавших участие в проведении экспертизы (фамилия, имя, отчество (при наличии), регистрационный номер квалификационного удостоверения эксперта);</w:t>
            </w:r>
          </w:p>
          <w:p w14:paraId="79BE8376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3) наименование объекта экспертизы, на который распространяется действие заключения экспертизы;</w:t>
            </w:r>
          </w:p>
          <w:p w14:paraId="1CC6391C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4) данные о заказчике (наименование организации, ее организационно-правовая форма);</w:t>
            </w:r>
          </w:p>
          <w:p w14:paraId="7B89A8BB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5) цель экспертизы;</w:t>
            </w:r>
          </w:p>
          <w:p w14:paraId="6B1B0BA9" w14:textId="2B8ED60C" w:rsidR="00583BBD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идентификации;</w:t>
            </w:r>
          </w:p>
          <w:p w14:paraId="21B6645A" w14:textId="7DA6A913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7) краткую характеристику и назначение объекта экспертизы;</w:t>
            </w:r>
          </w:p>
          <w:p w14:paraId="1DF8DE2E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 xml:space="preserve">8) результаты проведенной экспертизы со ссылками на конкретные структурные единицы </w:t>
            </w:r>
            <w:r w:rsidRPr="008754D9">
              <w:rPr>
                <w:rFonts w:eastAsia="SimSun" w:cs="Mangal"/>
                <w:lang w:eastAsia="hi-IN" w:bidi="hi-IN"/>
              </w:rPr>
              <w:lastRenderedPageBreak/>
              <w:t>нормативных правовых актов в области промышленной безопасности;</w:t>
            </w:r>
          </w:p>
          <w:p w14:paraId="6F704587" w14:textId="77777777" w:rsidR="00583BBD" w:rsidRPr="008754D9" w:rsidRDefault="00583BBD" w:rsidP="00583BBD">
            <w:pPr>
              <w:widowControl w:val="0"/>
              <w:suppressLineNumbers/>
              <w:spacing w:line="276" w:lineRule="auto"/>
              <w:ind w:firstLine="513"/>
              <w:jc w:val="both"/>
              <w:rPr>
                <w:rFonts w:eastAsia="SimSun" w:cs="Mangal"/>
                <w:lang w:eastAsia="hi-IN" w:bidi="hi-IN"/>
              </w:rPr>
            </w:pPr>
            <w:r w:rsidRPr="008754D9">
              <w:rPr>
                <w:rFonts w:eastAsia="SimSun" w:cs="Mangal"/>
                <w:lang w:eastAsia="hi-IN" w:bidi="hi-IN"/>
              </w:rPr>
              <w:t>9) выводы заключения экспертизы;</w:t>
            </w:r>
          </w:p>
          <w:p w14:paraId="3066FD9D" w14:textId="41283C70" w:rsidR="00583BBD" w:rsidRDefault="00583BBD" w:rsidP="00583BBD">
            <w:pPr>
              <w:contextualSpacing/>
              <w:jc w:val="both"/>
              <w:rPr>
                <w:lang w:eastAsia="ru-RU"/>
              </w:rPr>
            </w:pPr>
            <w:r>
              <w:rPr>
                <w:rFonts w:eastAsia="SimSun" w:cs="Mangal"/>
                <w:lang w:eastAsia="hi-IN" w:bidi="hi-IN"/>
              </w:rPr>
              <w:t>10) </w:t>
            </w:r>
            <w:r w:rsidRPr="008754D9">
              <w:rPr>
                <w:rFonts w:eastAsia="SimSun" w:cs="Mangal"/>
                <w:lang w:eastAsia="hi-IN" w:bidi="hi-IN"/>
              </w:rPr>
              <w:t>сведения о проведенных мероприятиях и о результатах технического диагностирования технических устройств</w:t>
            </w:r>
            <w:r>
              <w:rPr>
                <w:rFonts w:eastAsia="SimSun" w:cs="Mangal"/>
                <w:lang w:eastAsia="hi-IN" w:bidi="hi-IN"/>
              </w:rPr>
              <w:t>.</w:t>
            </w:r>
          </w:p>
        </w:tc>
      </w:tr>
      <w:tr w:rsidR="00B23D51" w:rsidRPr="00C363D8" w14:paraId="58A85A6C" w14:textId="77777777" w:rsidTr="00B23D51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3C7AC6FC" w14:textId="5DABAC7B" w:rsidR="00B23D51" w:rsidRPr="00962D75" w:rsidRDefault="002E1F43" w:rsidP="00A911F4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>
              <w:rPr>
                <w:rFonts w:eastAsia="SimSun" w:cs="Mangal"/>
                <w:b/>
                <w:lang w:eastAsia="hi-IN" w:bidi="hi-IN"/>
              </w:rPr>
              <w:lastRenderedPageBreak/>
              <w:t>13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4D307FEC" w14:textId="77777777" w:rsidR="00B23D51" w:rsidRPr="00AA3E48" w:rsidRDefault="00B23D51" w:rsidP="00A911F4">
            <w:pPr>
              <w:widowControl w:val="0"/>
              <w:spacing w:before="60" w:after="60" w:line="100" w:lineRule="atLeast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AA3E48">
              <w:rPr>
                <w:rFonts w:eastAsia="SimSun" w:cs="Mangal"/>
                <w:b/>
                <w:lang w:eastAsia="hi-IN" w:bidi="hi-IN"/>
              </w:rPr>
              <w:t>Гарантия и ответственность исполнителя.</w:t>
            </w:r>
          </w:p>
        </w:tc>
      </w:tr>
      <w:tr w:rsidR="00B23D51" w:rsidRPr="00C363D8" w14:paraId="53025D82" w14:textId="77777777" w:rsidTr="00A911F4">
        <w:trPr>
          <w:trHeight w:val="538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4DA1CB55" w14:textId="77777777" w:rsidR="00B23D51" w:rsidRPr="003F0335" w:rsidRDefault="00B23D51" w:rsidP="00A911F4">
            <w:pPr>
              <w:shd w:val="clear" w:color="auto" w:fill="FFFFFF"/>
              <w:suppressAutoHyphens w:val="0"/>
              <w:spacing w:line="276" w:lineRule="auto"/>
              <w:ind w:firstLine="513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1. </w:t>
            </w:r>
            <w:r w:rsidRPr="003F0335">
              <w:rPr>
                <w:kern w:val="0"/>
                <w:lang w:eastAsia="ru-RU"/>
              </w:rPr>
              <w:t xml:space="preserve">Исполнитель обеспечивает гарантийный срок на весь объем </w:t>
            </w:r>
            <w:r>
              <w:rPr>
                <w:kern w:val="0"/>
                <w:lang w:eastAsia="ru-RU"/>
              </w:rPr>
              <w:t>произведенных работ, в течении 12</w:t>
            </w:r>
            <w:r w:rsidRPr="003F0335">
              <w:rPr>
                <w:kern w:val="0"/>
                <w:lang w:eastAsia="ru-RU"/>
              </w:rPr>
              <w:t xml:space="preserve"> месяцев со дня подписания акта. Все выявленные дефекты в период гарантийного срока устанавливаются </w:t>
            </w:r>
            <w:r>
              <w:rPr>
                <w:kern w:val="0"/>
                <w:lang w:eastAsia="ru-RU"/>
              </w:rPr>
              <w:t>Заказчиком</w:t>
            </w:r>
            <w:r w:rsidRPr="003F0335">
              <w:rPr>
                <w:kern w:val="0"/>
                <w:lang w:eastAsia="ru-RU"/>
              </w:rPr>
              <w:t xml:space="preserve"> и устраняются за счет</w:t>
            </w:r>
            <w:r>
              <w:rPr>
                <w:kern w:val="0"/>
                <w:lang w:eastAsia="ru-RU"/>
              </w:rPr>
              <w:t xml:space="preserve"> Исполнителя</w:t>
            </w:r>
            <w:r w:rsidRPr="003F0335">
              <w:rPr>
                <w:kern w:val="0"/>
                <w:lang w:eastAsia="ru-RU"/>
              </w:rPr>
              <w:t xml:space="preserve"> в течении 3 (трёх) календарных дней с момента выявления дефектов.</w:t>
            </w:r>
          </w:p>
        </w:tc>
      </w:tr>
      <w:tr w:rsidR="00B23D51" w:rsidRPr="00C363D8" w14:paraId="65D93D48" w14:textId="77777777" w:rsidTr="00B23D51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CCA3811" w14:textId="37787FEA" w:rsidR="00B23D51" w:rsidRPr="00962D75" w:rsidRDefault="00B23D51" w:rsidP="002E1F43">
            <w:pPr>
              <w:widowControl w:val="0"/>
              <w:suppressLineNumbers/>
              <w:snapToGrid w:val="0"/>
              <w:ind w:right="52"/>
              <w:jc w:val="center"/>
              <w:rPr>
                <w:rFonts w:eastAsia="SimSun" w:cs="Mangal"/>
                <w:b/>
                <w:lang w:eastAsia="hi-IN" w:bidi="hi-IN"/>
              </w:rPr>
            </w:pPr>
            <w:r w:rsidRPr="00962D75">
              <w:rPr>
                <w:rFonts w:eastAsia="SimSun" w:cs="Mangal"/>
                <w:b/>
                <w:lang w:eastAsia="hi-IN" w:bidi="hi-IN"/>
              </w:rPr>
              <w:t>1</w:t>
            </w:r>
            <w:r w:rsidR="002E1F43">
              <w:rPr>
                <w:rFonts w:eastAsia="SimSun" w:cs="Mangal"/>
                <w:b/>
                <w:lang w:eastAsia="hi-IN" w:bidi="hi-IN"/>
              </w:rPr>
              <w:t>4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14D5B6F9" w14:textId="77777777" w:rsidR="00B23D51" w:rsidRPr="00AA3E48" w:rsidRDefault="00B23D51" w:rsidP="00A911F4">
            <w:pPr>
              <w:shd w:val="clear" w:color="auto" w:fill="FFFFFF"/>
              <w:suppressAutoHyphens w:val="0"/>
              <w:spacing w:line="276" w:lineRule="auto"/>
              <w:jc w:val="center"/>
              <w:rPr>
                <w:b/>
                <w:i/>
                <w:kern w:val="0"/>
                <w:lang w:eastAsia="ru-RU"/>
              </w:rPr>
            </w:pPr>
            <w:r w:rsidRPr="00AA3E48">
              <w:rPr>
                <w:rFonts w:eastAsia="SimSun" w:cs="Mangal"/>
                <w:b/>
                <w:lang w:eastAsia="hi-IN" w:bidi="hi-IN"/>
              </w:rPr>
              <w:t xml:space="preserve">Приложения </w:t>
            </w:r>
          </w:p>
        </w:tc>
      </w:tr>
      <w:tr w:rsidR="00B23D51" w:rsidRPr="00C363D8" w14:paraId="52139E9E" w14:textId="77777777" w:rsidTr="00A911F4">
        <w:trPr>
          <w:trHeight w:val="214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10D04A" w14:textId="77777777" w:rsidR="00B23D51" w:rsidRPr="00024358" w:rsidRDefault="00B23D51" w:rsidP="00A911F4">
            <w:pPr>
              <w:shd w:val="clear" w:color="auto" w:fill="FFFFFF"/>
              <w:suppressAutoHyphens w:val="0"/>
              <w:spacing w:line="276" w:lineRule="auto"/>
              <w:ind w:firstLine="513"/>
              <w:jc w:val="both"/>
              <w:rPr>
                <w:snapToGrid w:val="0"/>
                <w:szCs w:val="26"/>
              </w:rPr>
            </w:pPr>
            <w:r>
              <w:rPr>
                <w:snapToGrid w:val="0"/>
                <w:szCs w:val="26"/>
              </w:rPr>
              <w:t xml:space="preserve">1. График </w:t>
            </w:r>
            <w:r w:rsidRPr="007F100B">
              <w:rPr>
                <w:snapToGrid w:val="0"/>
                <w:szCs w:val="26"/>
              </w:rPr>
              <w:t xml:space="preserve">обследования регистрируемого в органах Ростехнадзора грузоподъёмного оборудования с истекшим нормативным сроком службы на </w:t>
            </w:r>
            <w:r>
              <w:rPr>
                <w:snapToGrid w:val="0"/>
                <w:szCs w:val="26"/>
              </w:rPr>
              <w:t>2025г</w:t>
            </w:r>
          </w:p>
        </w:tc>
      </w:tr>
    </w:tbl>
    <w:p w14:paraId="7C95FE8C" w14:textId="7563444F" w:rsidR="00B23D51" w:rsidRDefault="00B23D51" w:rsidP="00B67F73">
      <w:pPr>
        <w:widowControl w:val="0"/>
        <w:tabs>
          <w:tab w:val="left" w:pos="615"/>
          <w:tab w:val="left" w:pos="4275"/>
          <w:tab w:val="left" w:pos="7020"/>
        </w:tabs>
        <w:rPr>
          <w:rFonts w:eastAsia="Courier New"/>
          <w:lang w:eastAsia="ru-RU" w:bidi="ru-RU"/>
        </w:rPr>
      </w:pPr>
    </w:p>
    <w:sectPr w:rsidR="00B23D51" w:rsidSect="000135D6">
      <w:type w:val="continuous"/>
      <w:pgSz w:w="11906" w:h="16838"/>
      <w:pgMar w:top="568" w:right="1134" w:bottom="567" w:left="1134" w:header="340" w:footer="3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50C47" w14:textId="77777777" w:rsidR="00B879C0" w:rsidRDefault="00B879C0">
      <w:r>
        <w:separator/>
      </w:r>
    </w:p>
  </w:endnote>
  <w:endnote w:type="continuationSeparator" w:id="0">
    <w:p w14:paraId="1FBBAB24" w14:textId="77777777" w:rsidR="00B879C0" w:rsidRDefault="00B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9894" w14:textId="77777777" w:rsidR="009D3EE9" w:rsidRDefault="009D3EE9">
    <w:pPr>
      <w:pStyle w:val="ae"/>
    </w:pPr>
    <w:r>
      <w:fldChar w:fldCharType="begin"/>
    </w:r>
    <w:r>
      <w:instrText xml:space="preserve"> PAGE </w:instrText>
    </w:r>
    <w:r>
      <w:fldChar w:fldCharType="separate"/>
    </w:r>
    <w:r w:rsidR="00164DEF">
      <w:rPr>
        <w:noProof/>
      </w:rPr>
      <w:t>22</w:t>
    </w:r>
    <w:r>
      <w:fldChar w:fldCharType="end"/>
    </w:r>
  </w:p>
  <w:p w14:paraId="116F345E" w14:textId="77777777" w:rsidR="009D3EE9" w:rsidRDefault="009D3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378" w14:textId="77777777" w:rsidR="00B879C0" w:rsidRDefault="00B879C0">
      <w:r>
        <w:separator/>
      </w:r>
    </w:p>
  </w:footnote>
  <w:footnote w:type="continuationSeparator" w:id="0">
    <w:p w14:paraId="75245692" w14:textId="77777777" w:rsidR="00B879C0" w:rsidRDefault="00B8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ADEC" w14:textId="77777777" w:rsidR="009D3EE9" w:rsidRDefault="009D3EE9">
    <w:pPr>
      <w:pStyle w:val="af1"/>
      <w:jc w:val="center"/>
    </w:pPr>
    <w:r>
      <w:rPr>
        <w:color w:val="7F7F7F"/>
      </w:rPr>
      <w:t xml:space="preserve">                                                                                                                 ТЗ №114-230-17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6045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E9E232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1">
      <w:start w:val="1"/>
      <w:numFmt w:val="bullet"/>
      <w:lvlText w:val="—"/>
      <w:lvlJc w:val="left"/>
      <w:pPr>
        <w:tabs>
          <w:tab w:val="num" w:pos="1287"/>
        </w:tabs>
        <w:ind w:left="128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2">
      <w:start w:val="1"/>
      <w:numFmt w:val="bullet"/>
      <w:lvlText w:val="—"/>
      <w:lvlJc w:val="left"/>
      <w:pPr>
        <w:tabs>
          <w:tab w:val="num" w:pos="1647"/>
        </w:tabs>
        <w:ind w:left="164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3">
      <w:start w:val="1"/>
      <w:numFmt w:val="bullet"/>
      <w:lvlText w:val="—"/>
      <w:lvlJc w:val="left"/>
      <w:pPr>
        <w:tabs>
          <w:tab w:val="num" w:pos="2007"/>
        </w:tabs>
        <w:ind w:left="200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4">
      <w:start w:val="1"/>
      <w:numFmt w:val="bullet"/>
      <w:lvlText w:val="—"/>
      <w:lvlJc w:val="left"/>
      <w:pPr>
        <w:tabs>
          <w:tab w:val="num" w:pos="2367"/>
        </w:tabs>
        <w:ind w:left="236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5">
      <w:start w:val="1"/>
      <w:numFmt w:val="bullet"/>
      <w:lvlText w:val="—"/>
      <w:lvlJc w:val="left"/>
      <w:pPr>
        <w:tabs>
          <w:tab w:val="num" w:pos="2727"/>
        </w:tabs>
        <w:ind w:left="272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6">
      <w:start w:val="1"/>
      <w:numFmt w:val="bullet"/>
      <w:lvlText w:val="—"/>
      <w:lvlJc w:val="left"/>
      <w:pPr>
        <w:tabs>
          <w:tab w:val="num" w:pos="3087"/>
        </w:tabs>
        <w:ind w:left="308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7">
      <w:start w:val="1"/>
      <w:numFmt w:val="bullet"/>
      <w:lvlText w:val="—"/>
      <w:lvlJc w:val="left"/>
      <w:pPr>
        <w:tabs>
          <w:tab w:val="num" w:pos="3447"/>
        </w:tabs>
        <w:ind w:left="344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  <w:lvl w:ilvl="8">
      <w:start w:val="1"/>
      <w:numFmt w:val="bullet"/>
      <w:lvlText w:val="—"/>
      <w:lvlJc w:val="left"/>
      <w:pPr>
        <w:tabs>
          <w:tab w:val="num" w:pos="3807"/>
        </w:tabs>
        <w:ind w:left="3807" w:hanging="360"/>
      </w:pPr>
      <w:rPr>
        <w:rFonts w:ascii="OpenSymbol" w:hAnsi="OpenSymbol" w:cs="Times New Roman"/>
        <w:color w:val="000000"/>
        <w:kern w:val="1"/>
        <w:sz w:val="24"/>
        <w:szCs w:val="24"/>
        <w:lang w:val="en-U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79" w:hanging="360"/>
      </w:pPr>
    </w:lvl>
    <w:lvl w:ilvl="2">
      <w:start w:val="16"/>
      <w:numFmt w:val="bullet"/>
      <w:lvlText w:val="–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kern w:val="1"/>
        <w:szCs w:val="24"/>
        <w:lang w:val="en-US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008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2009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2008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lang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SimSun" w:cs="Mangal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eastAsia="SimSun" w:cs="Mangal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E36515"/>
    <w:multiLevelType w:val="hybridMultilevel"/>
    <w:tmpl w:val="C2F838D6"/>
    <w:lvl w:ilvl="0" w:tplc="14E4B6F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2ED7"/>
    <w:multiLevelType w:val="multilevel"/>
    <w:tmpl w:val="582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F80985"/>
    <w:multiLevelType w:val="hybridMultilevel"/>
    <w:tmpl w:val="D65A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D6240"/>
    <w:multiLevelType w:val="multilevel"/>
    <w:tmpl w:val="E9E232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80C2984"/>
    <w:multiLevelType w:val="hybridMultilevel"/>
    <w:tmpl w:val="A0486464"/>
    <w:lvl w:ilvl="0" w:tplc="30EEA88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F"/>
    <w:rsid w:val="00000785"/>
    <w:rsid w:val="000074D3"/>
    <w:rsid w:val="0001244E"/>
    <w:rsid w:val="000135D6"/>
    <w:rsid w:val="00024358"/>
    <w:rsid w:val="000405C5"/>
    <w:rsid w:val="00052161"/>
    <w:rsid w:val="00066664"/>
    <w:rsid w:val="00093D6C"/>
    <w:rsid w:val="000970D4"/>
    <w:rsid w:val="000A02AC"/>
    <w:rsid w:val="000C17C4"/>
    <w:rsid w:val="000D0F72"/>
    <w:rsid w:val="000E1745"/>
    <w:rsid w:val="000E3234"/>
    <w:rsid w:val="000F27CA"/>
    <w:rsid w:val="000F6D74"/>
    <w:rsid w:val="00101586"/>
    <w:rsid w:val="001110F1"/>
    <w:rsid w:val="00133A5F"/>
    <w:rsid w:val="00135032"/>
    <w:rsid w:val="00140DDC"/>
    <w:rsid w:val="0014436A"/>
    <w:rsid w:val="0015127F"/>
    <w:rsid w:val="00156A8F"/>
    <w:rsid w:val="0016430F"/>
    <w:rsid w:val="00164DEF"/>
    <w:rsid w:val="00166169"/>
    <w:rsid w:val="001743D4"/>
    <w:rsid w:val="00191DB4"/>
    <w:rsid w:val="001B7474"/>
    <w:rsid w:val="001C7904"/>
    <w:rsid w:val="001D473C"/>
    <w:rsid w:val="001E00D9"/>
    <w:rsid w:val="001E0B50"/>
    <w:rsid w:val="001E5A1D"/>
    <w:rsid w:val="001E7AA2"/>
    <w:rsid w:val="001F4A7A"/>
    <w:rsid w:val="00215DAB"/>
    <w:rsid w:val="002165BF"/>
    <w:rsid w:val="00246095"/>
    <w:rsid w:val="00262B0B"/>
    <w:rsid w:val="00275C88"/>
    <w:rsid w:val="00284B0D"/>
    <w:rsid w:val="002B31B4"/>
    <w:rsid w:val="002D1B00"/>
    <w:rsid w:val="002D6A7A"/>
    <w:rsid w:val="002E1F43"/>
    <w:rsid w:val="002E2892"/>
    <w:rsid w:val="002E6DED"/>
    <w:rsid w:val="002F291C"/>
    <w:rsid w:val="002F3849"/>
    <w:rsid w:val="00306E26"/>
    <w:rsid w:val="00312D2A"/>
    <w:rsid w:val="00314066"/>
    <w:rsid w:val="003316D5"/>
    <w:rsid w:val="003405D8"/>
    <w:rsid w:val="00345258"/>
    <w:rsid w:val="00346D48"/>
    <w:rsid w:val="00355734"/>
    <w:rsid w:val="00362D74"/>
    <w:rsid w:val="00364A5B"/>
    <w:rsid w:val="00370C80"/>
    <w:rsid w:val="00374587"/>
    <w:rsid w:val="003B3B48"/>
    <w:rsid w:val="003B4A29"/>
    <w:rsid w:val="003D41BA"/>
    <w:rsid w:val="003D6575"/>
    <w:rsid w:val="003E727F"/>
    <w:rsid w:val="003F0335"/>
    <w:rsid w:val="00401EDB"/>
    <w:rsid w:val="00406452"/>
    <w:rsid w:val="004212DE"/>
    <w:rsid w:val="00435E31"/>
    <w:rsid w:val="00453C06"/>
    <w:rsid w:val="00472854"/>
    <w:rsid w:val="0048755F"/>
    <w:rsid w:val="00491A08"/>
    <w:rsid w:val="00495386"/>
    <w:rsid w:val="00497EAC"/>
    <w:rsid w:val="004A1CE5"/>
    <w:rsid w:val="004C1B52"/>
    <w:rsid w:val="004D74A7"/>
    <w:rsid w:val="004F3CEE"/>
    <w:rsid w:val="00500414"/>
    <w:rsid w:val="005015E6"/>
    <w:rsid w:val="0050608A"/>
    <w:rsid w:val="00510CC6"/>
    <w:rsid w:val="00514887"/>
    <w:rsid w:val="00522E37"/>
    <w:rsid w:val="00523E5A"/>
    <w:rsid w:val="00524A7D"/>
    <w:rsid w:val="00524DF5"/>
    <w:rsid w:val="00525202"/>
    <w:rsid w:val="00531515"/>
    <w:rsid w:val="005426C5"/>
    <w:rsid w:val="00553C83"/>
    <w:rsid w:val="00555A7E"/>
    <w:rsid w:val="005575BC"/>
    <w:rsid w:val="00564F92"/>
    <w:rsid w:val="00583BBD"/>
    <w:rsid w:val="00586BAE"/>
    <w:rsid w:val="00592F6E"/>
    <w:rsid w:val="005A5086"/>
    <w:rsid w:val="005B1483"/>
    <w:rsid w:val="005B3824"/>
    <w:rsid w:val="005F1251"/>
    <w:rsid w:val="0062259E"/>
    <w:rsid w:val="00623D31"/>
    <w:rsid w:val="00651E38"/>
    <w:rsid w:val="006765FF"/>
    <w:rsid w:val="006845BF"/>
    <w:rsid w:val="00687804"/>
    <w:rsid w:val="00693410"/>
    <w:rsid w:val="006B1408"/>
    <w:rsid w:val="006B17E2"/>
    <w:rsid w:val="006B36B4"/>
    <w:rsid w:val="006B382A"/>
    <w:rsid w:val="006C0E2A"/>
    <w:rsid w:val="006E10A1"/>
    <w:rsid w:val="006F2817"/>
    <w:rsid w:val="00716786"/>
    <w:rsid w:val="00717999"/>
    <w:rsid w:val="007313ED"/>
    <w:rsid w:val="0073762E"/>
    <w:rsid w:val="00772E4D"/>
    <w:rsid w:val="007816E0"/>
    <w:rsid w:val="00782950"/>
    <w:rsid w:val="00783F9A"/>
    <w:rsid w:val="00787CF7"/>
    <w:rsid w:val="00794146"/>
    <w:rsid w:val="0079753E"/>
    <w:rsid w:val="007B232C"/>
    <w:rsid w:val="007B357C"/>
    <w:rsid w:val="007B47CA"/>
    <w:rsid w:val="007C0C24"/>
    <w:rsid w:val="007C2C74"/>
    <w:rsid w:val="007C7DFA"/>
    <w:rsid w:val="007D47A4"/>
    <w:rsid w:val="007D5CD0"/>
    <w:rsid w:val="007E0DB5"/>
    <w:rsid w:val="007E4FB6"/>
    <w:rsid w:val="007F06A5"/>
    <w:rsid w:val="007F100B"/>
    <w:rsid w:val="00802249"/>
    <w:rsid w:val="00826447"/>
    <w:rsid w:val="00842246"/>
    <w:rsid w:val="008427DA"/>
    <w:rsid w:val="0084310B"/>
    <w:rsid w:val="0084761A"/>
    <w:rsid w:val="00850454"/>
    <w:rsid w:val="00873979"/>
    <w:rsid w:val="008754D9"/>
    <w:rsid w:val="0088098F"/>
    <w:rsid w:val="008823E4"/>
    <w:rsid w:val="00883976"/>
    <w:rsid w:val="00885FA7"/>
    <w:rsid w:val="008939C0"/>
    <w:rsid w:val="00894430"/>
    <w:rsid w:val="008974F1"/>
    <w:rsid w:val="008B1F9E"/>
    <w:rsid w:val="008B2971"/>
    <w:rsid w:val="008C545D"/>
    <w:rsid w:val="008D6897"/>
    <w:rsid w:val="00913935"/>
    <w:rsid w:val="00913A0A"/>
    <w:rsid w:val="00915092"/>
    <w:rsid w:val="00915F11"/>
    <w:rsid w:val="00927D92"/>
    <w:rsid w:val="00930F7E"/>
    <w:rsid w:val="0095021E"/>
    <w:rsid w:val="00962D75"/>
    <w:rsid w:val="00967566"/>
    <w:rsid w:val="009A0177"/>
    <w:rsid w:val="009A18ED"/>
    <w:rsid w:val="009A4D9D"/>
    <w:rsid w:val="009C67B2"/>
    <w:rsid w:val="009D3EE9"/>
    <w:rsid w:val="009F64D4"/>
    <w:rsid w:val="00A12B11"/>
    <w:rsid w:val="00A15361"/>
    <w:rsid w:val="00A3024B"/>
    <w:rsid w:val="00A45459"/>
    <w:rsid w:val="00A61E46"/>
    <w:rsid w:val="00A720C2"/>
    <w:rsid w:val="00A840A8"/>
    <w:rsid w:val="00A924F2"/>
    <w:rsid w:val="00AA3E48"/>
    <w:rsid w:val="00AE06E7"/>
    <w:rsid w:val="00AE39A1"/>
    <w:rsid w:val="00AF4EEE"/>
    <w:rsid w:val="00AF7902"/>
    <w:rsid w:val="00B05D25"/>
    <w:rsid w:val="00B07FE9"/>
    <w:rsid w:val="00B15BEC"/>
    <w:rsid w:val="00B23D51"/>
    <w:rsid w:val="00B33735"/>
    <w:rsid w:val="00B358B4"/>
    <w:rsid w:val="00B36A99"/>
    <w:rsid w:val="00B574FB"/>
    <w:rsid w:val="00B673CF"/>
    <w:rsid w:val="00B67F73"/>
    <w:rsid w:val="00B72BAE"/>
    <w:rsid w:val="00B879C0"/>
    <w:rsid w:val="00BA3D19"/>
    <w:rsid w:val="00BB0CEE"/>
    <w:rsid w:val="00BB469B"/>
    <w:rsid w:val="00BC198B"/>
    <w:rsid w:val="00BF7F31"/>
    <w:rsid w:val="00C01AD8"/>
    <w:rsid w:val="00C222F6"/>
    <w:rsid w:val="00C26347"/>
    <w:rsid w:val="00C269FE"/>
    <w:rsid w:val="00C26B54"/>
    <w:rsid w:val="00C27C7B"/>
    <w:rsid w:val="00C363D8"/>
    <w:rsid w:val="00C443F7"/>
    <w:rsid w:val="00C7104E"/>
    <w:rsid w:val="00C72A31"/>
    <w:rsid w:val="00CA259D"/>
    <w:rsid w:val="00CA464F"/>
    <w:rsid w:val="00CD4BF4"/>
    <w:rsid w:val="00CF0F74"/>
    <w:rsid w:val="00CF66B0"/>
    <w:rsid w:val="00D0337A"/>
    <w:rsid w:val="00D06282"/>
    <w:rsid w:val="00D076AE"/>
    <w:rsid w:val="00D254EA"/>
    <w:rsid w:val="00D32FA8"/>
    <w:rsid w:val="00D34834"/>
    <w:rsid w:val="00D41CB8"/>
    <w:rsid w:val="00D46729"/>
    <w:rsid w:val="00D47019"/>
    <w:rsid w:val="00D47287"/>
    <w:rsid w:val="00D47874"/>
    <w:rsid w:val="00D77BE1"/>
    <w:rsid w:val="00D81190"/>
    <w:rsid w:val="00D81EE6"/>
    <w:rsid w:val="00D87BB2"/>
    <w:rsid w:val="00D94FB7"/>
    <w:rsid w:val="00DB422A"/>
    <w:rsid w:val="00DC4BA5"/>
    <w:rsid w:val="00DD0027"/>
    <w:rsid w:val="00DF0535"/>
    <w:rsid w:val="00DF2C88"/>
    <w:rsid w:val="00DF6215"/>
    <w:rsid w:val="00E17B47"/>
    <w:rsid w:val="00E20132"/>
    <w:rsid w:val="00E2599E"/>
    <w:rsid w:val="00E3407A"/>
    <w:rsid w:val="00E44AE8"/>
    <w:rsid w:val="00E4639B"/>
    <w:rsid w:val="00E510E4"/>
    <w:rsid w:val="00E61916"/>
    <w:rsid w:val="00E668C8"/>
    <w:rsid w:val="00E73B22"/>
    <w:rsid w:val="00E75657"/>
    <w:rsid w:val="00EA0D20"/>
    <w:rsid w:val="00EA6086"/>
    <w:rsid w:val="00EA6680"/>
    <w:rsid w:val="00EC4F6C"/>
    <w:rsid w:val="00EC7BC7"/>
    <w:rsid w:val="00ED095F"/>
    <w:rsid w:val="00EE1F56"/>
    <w:rsid w:val="00F003A0"/>
    <w:rsid w:val="00F212BE"/>
    <w:rsid w:val="00F21ADF"/>
    <w:rsid w:val="00F24520"/>
    <w:rsid w:val="00F25D90"/>
    <w:rsid w:val="00F27A73"/>
    <w:rsid w:val="00F37AA0"/>
    <w:rsid w:val="00F51DD3"/>
    <w:rsid w:val="00F5658A"/>
    <w:rsid w:val="00F571E1"/>
    <w:rsid w:val="00F622CE"/>
    <w:rsid w:val="00F721B5"/>
    <w:rsid w:val="00F76CFB"/>
    <w:rsid w:val="00F919F2"/>
    <w:rsid w:val="00F925F3"/>
    <w:rsid w:val="00F942F0"/>
    <w:rsid w:val="00F94E0D"/>
    <w:rsid w:val="00FB0D58"/>
    <w:rsid w:val="00FB267E"/>
    <w:rsid w:val="00FB2A13"/>
    <w:rsid w:val="00FB5ACB"/>
    <w:rsid w:val="00FC0E2F"/>
    <w:rsid w:val="00FC116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6347C4"/>
  <w15:chartTrackingRefBased/>
  <w15:docId w15:val="{80E4C379-EC0D-4C08-BF15-E243C4D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ind w:left="1080" w:right="360" w:firstLine="80"/>
      <w:outlineLvl w:val="0"/>
    </w:pPr>
    <w:rPr>
      <w:b/>
      <w:sz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1440" w:right="5761" w:firstLine="0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OpenSymbol" w:hAnsi="OpenSymbol" w:cs="Times New Roman"/>
      <w:color w:val="000000"/>
      <w:kern w:val="1"/>
      <w:sz w:val="24"/>
      <w:szCs w:val="24"/>
      <w:lang w:val="en-US"/>
    </w:rPr>
  </w:style>
  <w:style w:type="character" w:customStyle="1" w:styleId="WW8Num4z2">
    <w:name w:val="WW8Num4z2"/>
    <w:rPr>
      <w:rFonts w:ascii="Times New Roman" w:hAnsi="Times New Roman" w:cs="Times New Roman"/>
      <w:sz w:val="24"/>
    </w:rPr>
  </w:style>
  <w:style w:type="character" w:customStyle="1" w:styleId="WW8Num5z0">
    <w:name w:val="WW8Num5z0"/>
    <w:rPr>
      <w:rFonts w:ascii="Times New Roman" w:hAnsi="Times New Roman" w:cs="Times New Roman"/>
      <w:kern w:val="1"/>
      <w:szCs w:val="24"/>
      <w:lang w:val="en-US" w:eastAsia="hi-IN" w:bidi="hi-IN"/>
    </w:rPr>
  </w:style>
  <w:style w:type="character" w:customStyle="1" w:styleId="WW8Num6z0">
    <w:name w:val="WW8Num6z0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6z1">
    <w:name w:val="WW8Num6z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7z0">
    <w:name w:val="WW8Num7z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0">
    <w:name w:val="WW8Num8z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0">
    <w:name w:val="WW8Num9z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0z0">
    <w:name w:val="WW8Num10z0"/>
    <w:rPr>
      <w:rFonts w:eastAsia="SimSun" w:cs="Mangal"/>
      <w:lang w:eastAsia="hi-IN" w:bidi="hi-IN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Название Знак"/>
    <w:rPr>
      <w:sz w:val="28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basedOn w:val="10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10"/>
  </w:style>
  <w:style w:type="character" w:customStyle="1" w:styleId="aa">
    <w:name w:val="Нижний колонтитул Знак"/>
    <w:uiPriority w:val="99"/>
    <w:rPr>
      <w:sz w:val="24"/>
      <w:szCs w:val="24"/>
    </w:rPr>
  </w:style>
  <w:style w:type="character" w:customStyle="1" w:styleId="ListLabel1">
    <w:name w:val="ListLabel 1"/>
    <w:rPr>
      <w:sz w:val="32"/>
      <w:szCs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  <w:sz w:val="16"/>
      <w:szCs w:val="16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Times New Roman"/>
      <w:color w:val="000000"/>
      <w:kern w:val="1"/>
      <w:sz w:val="24"/>
      <w:szCs w:val="24"/>
      <w:lang w:val="en-US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kern w:val="1"/>
      <w:szCs w:val="24"/>
      <w:lang w:val="en-US" w:eastAsia="hi-IN" w:bidi="hi-IN"/>
    </w:rPr>
  </w:style>
  <w:style w:type="character" w:customStyle="1" w:styleId="ListLabel9">
    <w:name w:val="ListLabel 9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ab">
    <w:name w:val="Символ нумерации"/>
    <w:rPr>
      <w:rFonts w:eastAsia="SimSun" w:cs="Mangal"/>
      <w:lang w:eastAsia="hi-IN" w:bidi="hi-IN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0">
    <w:name w:val="Body Text"/>
    <w:basedOn w:val="a"/>
    <w:pPr>
      <w:spacing w:line="240" w:lineRule="exact"/>
      <w:ind w:right="5761"/>
    </w:pPr>
    <w:rPr>
      <w:lang w:val="en-US"/>
    </w:rPr>
  </w:style>
  <w:style w:type="paragraph" w:styleId="ad">
    <w:name w:val="List"/>
    <w:basedOn w:val="a0"/>
    <w:rPr>
      <w:rFonts w:cs="Arial Unicode M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 Unicode MS"/>
    </w:rPr>
  </w:style>
  <w:style w:type="paragraph" w:styleId="ae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qFormat/>
    <w:pPr>
      <w:spacing w:line="360" w:lineRule="auto"/>
      <w:jc w:val="center"/>
    </w:pPr>
    <w:rPr>
      <w:b/>
      <w:bCs/>
      <w:sz w:val="28"/>
      <w:szCs w:val="36"/>
    </w:rPr>
  </w:style>
  <w:style w:type="paragraph" w:styleId="af0">
    <w:name w:val="Subtitle"/>
    <w:basedOn w:val="13"/>
    <w:next w:val="a0"/>
    <w:qFormat/>
    <w:pPr>
      <w:jc w:val="center"/>
    </w:pPr>
    <w:rPr>
      <w:i/>
      <w:iCs/>
    </w:rPr>
  </w:style>
  <w:style w:type="paragraph" w:styleId="af1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customStyle="1" w:styleId="17">
    <w:name w:val="Тема примечания1"/>
    <w:basedOn w:val="16"/>
    <w:rPr>
      <w:b/>
      <w:bCs/>
    </w:rPr>
  </w:style>
  <w:style w:type="paragraph" w:customStyle="1" w:styleId="18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9">
    <w:name w:val="Цитата1"/>
    <w:basedOn w:val="a"/>
    <w:pPr>
      <w:ind w:left="1260" w:right="895"/>
    </w:pPr>
    <w:rPr>
      <w:sz w:val="28"/>
    </w:rPr>
  </w:style>
  <w:style w:type="paragraph" w:customStyle="1" w:styleId="1a">
    <w:name w:val="Абзац списка1"/>
    <w:basedOn w:val="a"/>
    <w:pPr>
      <w:ind w:left="72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1b"/>
    <w:uiPriority w:val="99"/>
    <w:semiHidden/>
    <w:unhideWhenUsed/>
    <w:rsid w:val="00284B0D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link w:val="af4"/>
    <w:uiPriority w:val="99"/>
    <w:semiHidden/>
    <w:rsid w:val="00284B0D"/>
    <w:rPr>
      <w:rFonts w:ascii="Segoe UI" w:hAnsi="Segoe UI" w:cs="Segoe UI"/>
      <w:kern w:val="1"/>
      <w:sz w:val="18"/>
      <w:szCs w:val="18"/>
      <w:lang w:eastAsia="ar-SA"/>
    </w:rPr>
  </w:style>
  <w:style w:type="paragraph" w:styleId="af5">
    <w:name w:val="endnote text"/>
    <w:basedOn w:val="a"/>
    <w:link w:val="af6"/>
    <w:uiPriority w:val="99"/>
    <w:semiHidden/>
    <w:unhideWhenUsed/>
    <w:rsid w:val="00491A0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491A0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491A08"/>
    <w:rPr>
      <w:vertAlign w:val="superscript"/>
    </w:rPr>
  </w:style>
  <w:style w:type="character" w:styleId="af8">
    <w:name w:val="annotation reference"/>
    <w:uiPriority w:val="99"/>
    <w:semiHidden/>
    <w:unhideWhenUsed/>
    <w:rsid w:val="00CD4BF4"/>
    <w:rPr>
      <w:sz w:val="16"/>
      <w:szCs w:val="16"/>
    </w:rPr>
  </w:style>
  <w:style w:type="paragraph" w:styleId="af9">
    <w:name w:val="annotation text"/>
    <w:basedOn w:val="a"/>
    <w:link w:val="1c"/>
    <w:uiPriority w:val="99"/>
    <w:semiHidden/>
    <w:unhideWhenUsed/>
    <w:rsid w:val="00CD4BF4"/>
    <w:rPr>
      <w:sz w:val="20"/>
      <w:szCs w:val="20"/>
    </w:rPr>
  </w:style>
  <w:style w:type="character" w:customStyle="1" w:styleId="1c">
    <w:name w:val="Текст примечания Знак1"/>
    <w:link w:val="af9"/>
    <w:uiPriority w:val="99"/>
    <w:semiHidden/>
    <w:rsid w:val="00CD4BF4"/>
    <w:rPr>
      <w:kern w:val="1"/>
      <w:lang w:eastAsia="ar-SA"/>
    </w:rPr>
  </w:style>
  <w:style w:type="paragraph" w:styleId="afa">
    <w:name w:val="annotation subject"/>
    <w:basedOn w:val="af9"/>
    <w:next w:val="af9"/>
    <w:link w:val="1d"/>
    <w:uiPriority w:val="99"/>
    <w:semiHidden/>
    <w:unhideWhenUsed/>
    <w:rsid w:val="00CD4BF4"/>
    <w:rPr>
      <w:b/>
      <w:bCs/>
    </w:rPr>
  </w:style>
  <w:style w:type="character" w:customStyle="1" w:styleId="1d">
    <w:name w:val="Тема примечания Знак1"/>
    <w:link w:val="afa"/>
    <w:uiPriority w:val="99"/>
    <w:semiHidden/>
    <w:rsid w:val="00CD4BF4"/>
    <w:rPr>
      <w:b/>
      <w:bCs/>
      <w:kern w:val="1"/>
      <w:lang w:eastAsia="ar-SA"/>
    </w:rPr>
  </w:style>
  <w:style w:type="paragraph" w:styleId="afb">
    <w:name w:val="List Paragraph"/>
    <w:basedOn w:val="a"/>
    <w:uiPriority w:val="34"/>
    <w:qFormat/>
    <w:rsid w:val="00BB0CEE"/>
    <w:pPr>
      <w:ind w:left="720"/>
      <w:contextualSpacing/>
    </w:pPr>
  </w:style>
  <w:style w:type="paragraph" w:styleId="afc">
    <w:name w:val="Revision"/>
    <w:hidden/>
    <w:uiPriority w:val="99"/>
    <w:semiHidden/>
    <w:rsid w:val="004A1CE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1527-FDAF-4D2D-AAE9-18FC6DCD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№ 6-07-16</vt:lpstr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№ 6-07-16</dc:title>
  <dc:subject>Стандартный бланк письма предприятия</dc:subject>
  <dc:creator>Диденко</dc:creator>
  <cp:keywords/>
  <cp:lastModifiedBy>ЖАРКОВ СЕРГЕЙ АЛЕКСАНДРОВИЧ</cp:lastModifiedBy>
  <cp:revision>2</cp:revision>
  <cp:lastPrinted>2023-03-16T05:08:00Z</cp:lastPrinted>
  <dcterms:created xsi:type="dcterms:W3CDTF">2025-01-30T08:09:00Z</dcterms:created>
  <dcterms:modified xsi:type="dcterms:W3CDTF">2025-01-30T08:09:00Z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ФГУП "Адмиралтейские верфи"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