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left"/>
        <w:spacing w:before="0" w:after="200" w:line="240" w:lineRule="auto"/>
        <w:rPr>
          <w:b/>
          <w:bCs/>
        </w:rPr>
        <w:suppressLineNumbers w:val="0"/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  <w:r/>
    </w:p>
    <w:p>
      <w:pPr>
        <w:contextualSpacing w:val="0"/>
        <w:jc w:val="left"/>
        <w:spacing w:before="0" w:after="200" w:line="240" w:lineRule="auto"/>
        <w:rPr>
          <w:b/>
          <w:bCs/>
          <w:highlight w:val="none"/>
        </w:rPr>
        <w:suppressLineNumbers w:val="0"/>
      </w:pPr>
      <w:r>
        <w:rPr>
          <w:b/>
          <w:bCs/>
        </w:rPr>
        <w:t xml:space="preserve">Минимальные критерии (Признаки добросовестности), которым должен отвечать поставщик для возможности работы с АО "Арконик СМЗ".</w:t>
      </w:r>
      <w:r>
        <w:rPr>
          <w:b/>
          <w:bCs/>
        </w:rPr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(при несоблюдении хотя бы 1-го из критериев поставщик не допускается до работы с АО "Арконик СМЗ").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Существование компании - не менее 1 года с момента регистрации;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Среднесписочная численность - мин 4 чел. по данным формы КНД-1151111 по страховым взносам; 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Сумма Основных Средств/Запасов – не менее 100 тыс. руб. по данным последнего бухгалтерского баланса к моменту предложения о сотрудничестве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 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rPr>
          <w:b/>
          <w:bCs/>
        </w:rPr>
        <w:t xml:space="preserve">Кр</w:t>
      </w:r>
      <w:r>
        <w:rPr>
          <w:b/>
          <w:bCs/>
        </w:rPr>
        <w:t xml:space="preserve">итерии, при соблюдении которых поставщик автоматически признается не имеющим признаков недобросовестности без проведения дополнительной проверки: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Существование компании - не менее 2 лет с момента регистрации;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наличие сведений о поставщике в СМИ, наличие официального Интернет-сайта, упоминаний в прессе, рекомендаций партнеров, рекламные материалы и т.п.;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Положительная деловая репутация директора и учредителя: отсутствие ликвидаций предыдущих компаний, путём присоединения к компаниям-однодневкам (опционально), приговоров суда по уголовным делам и т.п.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Наличие сертификатов, лицензий, разрешений, допусков и т.п. (при наличии).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ОС более 1 млн. руб. по данным последнего доступного бух. баланса;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наличие в штате поставщика квалифицированных работников: ССЧ не менее 10 чел.;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Совокупная налоговая нагрузка* более 2%; 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отсутствие задолженности по налогам, сборам и иным обязательным платежам в бюджеты всех уровней или государственные внебюджетные фонды;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</w:t>
      </w:r>
      <w:r>
        <w:rPr>
          <w:b w:val="0"/>
          <w:bCs w:val="0"/>
        </w:rPr>
        <w:t xml:space="preserve">Предоставление книги покупок (кроме ПАО </w:t>
      </w:r>
      <w:r>
        <w:rPr>
          <w:b w:val="0"/>
          <w:bCs w:val="0"/>
        </w:rPr>
        <w:t xml:space="preserve">и</w:t>
      </w:r>
      <w:r>
        <w:t xml:space="preserve"> организаций выручкой более 5 млрд. руб.); 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наличие в Книге покупок менее 20% субподрядчиков / субпоставщиков несоответствующих мин. критериям (кроме ПАО и организаций выручкой более 5 млрд. руб.).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отсутствие массового директора / учредителя (6 и более юр. лиц), а также записей в ЕГРЮЛ о недостоверности сведений. 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* Совокупная налоговая нагрузка рассчитывается по формуле = (сумма платежей по налогу на прибыль и НДС за календарный год)/совокупная выручка компании по данным бух. учёта. 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 </w:t>
      </w:r>
      <w:r/>
    </w:p>
    <w:p>
      <w:pPr>
        <w:contextualSpacing w:val="0"/>
        <w:jc w:val="left"/>
        <w:spacing w:before="0" w:after="200" w:line="240" w:lineRule="auto"/>
        <w:rPr>
          <w:b/>
          <w:bCs/>
          <w:highlight w:val="none"/>
        </w:rPr>
        <w:suppressLineNumbers w:val="0"/>
      </w:pPr>
      <w:r>
        <w:rPr>
          <w:b/>
          <w:bCs/>
          <w:i/>
          <w:iCs/>
        </w:rPr>
        <w:t xml:space="preserve">Е</w:t>
      </w:r>
      <w:r>
        <w:rPr>
          <w:b/>
          <w:bCs/>
          <w:i/>
          <w:iCs/>
        </w:rPr>
        <w:t xml:space="preserve">сли поставщик соответствует минимальным критериям, но не соответствует максимальным</w:t>
      </w:r>
      <w:r>
        <w:t xml:space="preserve">, в его отношении проводится дополнительная проверка, при этом потенциальный </w:t>
      </w:r>
      <w:r>
        <w:rPr>
          <w:i/>
          <w:iCs/>
        </w:rPr>
        <w:t xml:space="preserve">поставщик должен предоставить по запросу Арконик </w:t>
      </w:r>
      <w:r>
        <w:rPr>
          <w:b/>
          <w:bCs/>
          <w:i/>
          <w:iCs/>
        </w:rPr>
        <w:t xml:space="preserve">Декларации по налогу на прибыль и НДС с отметка</w:t>
      </w:r>
      <w:r>
        <w:rPr>
          <w:b/>
          <w:bCs/>
          <w:i/>
          <w:iCs/>
        </w:rPr>
        <w:t xml:space="preserve">ми о принятии налоговыми органами</w:t>
      </w:r>
      <w:r>
        <w:rPr>
          <w:b/>
          <w:bCs/>
          <w:i/>
          <w:iCs/>
        </w:rPr>
        <w:t xml:space="preserve">, Книгу Покупок</w:t>
      </w:r>
      <w:r>
        <w:t xml:space="preserve">, договоры аренды оборудования, договоры субподряда и т.д.  </w:t>
      </w:r>
      <w:r>
        <w:rPr>
          <w:highlight w:val="none"/>
        </w:rPr>
      </w:r>
      <w:r/>
    </w:p>
    <w:p>
      <w:pPr>
        <w:contextualSpacing w:val="0"/>
        <w:jc w:val="left"/>
        <w:spacing w:before="0" w:after="200" w:line="24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</w:p>
    <w:p>
      <w:pPr>
        <w:contextualSpacing w:val="0"/>
        <w:jc w:val="left"/>
        <w:spacing w:before="0" w:after="200" w:line="24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</w:p>
    <w:p>
      <w:pPr>
        <w:contextualSpacing w:val="0"/>
        <w:jc w:val="left"/>
        <w:spacing w:before="0" w:after="200" w:line="240" w:lineRule="auto"/>
        <w:rPr>
          <w:b/>
          <w:bCs/>
        </w:rPr>
        <w:suppressLineNumbers w:val="0"/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contextualSpacing w:val="0"/>
        <w:jc w:val="left"/>
        <w:spacing w:before="0" w:after="200" w:line="240" w:lineRule="auto"/>
        <w:rPr>
          <w:b/>
          <w:bCs/>
          <w:highlight w:val="none"/>
        </w:rPr>
        <w:suppressLineNumbers w:val="0"/>
      </w:pPr>
      <w:r>
        <w:rPr>
          <w:b/>
          <w:bCs/>
        </w:rPr>
        <w:t xml:space="preserve">Для участия в конкурсе необходимо </w:t>
      </w:r>
      <w:r>
        <w:rPr>
          <w:b/>
        </w:rPr>
        <w:t xml:space="preserve">разместить на сайте ЭТП следующие документы:</w:t>
      </w:r>
      <w:r>
        <w:rPr>
          <w:b/>
          <w:bCs/>
        </w:rPr>
      </w:r>
      <w:r/>
    </w:p>
    <w:p>
      <w:pPr>
        <w:contextualSpacing w:val="0"/>
        <w:jc w:val="left"/>
        <w:spacing w:before="0" w:after="200" w:line="240" w:lineRule="auto"/>
        <w:rPr>
          <w:bCs/>
          <w:i/>
        </w:rPr>
        <w:suppressLineNumbers w:val="0"/>
      </w:pPr>
      <w:r>
        <w:rPr>
          <w:i/>
          <w:iCs/>
        </w:rPr>
        <w:t xml:space="preserve">1. Карта клиента  на бланке предприятия и скрепленной печатью</w:t>
      </w:r>
      <w:r>
        <w:rPr>
          <w:i/>
          <w:iCs/>
        </w:rPr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2. Свидетельство о регистрации;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3. Свидетельство о постановке на учет в налоговых органах;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4. Выписку из ЕГРН;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5. Лицензия (на лицензируемые виды деятельности); 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6. Устав;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7. Доверенность на право подписи на лицо подписывающее договор (если это не руководитель организации). 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8. Бухгалтерская отчетность (бухгалтерский баланс, отчет о прибылях и убытках) на последнюю имеющуюся дату с отметкой о принятии налоговыми органами. 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rPr>
          <w:b/>
          <w:bCs/>
        </w:rPr>
      </w:r>
      <w:r>
        <w:t xml:space="preserve">9. Форма КНД 1151111 на последнюю имеющуюся дату с отметкой о принятии налоговыми органами.</w:t>
      </w:r>
      <w:r>
        <w:rPr>
          <w:b/>
          <w:bCs/>
        </w:rPr>
      </w:r>
      <w:r/>
    </w:p>
    <w:p>
      <w:pPr>
        <w:contextualSpacing w:val="0"/>
        <w:jc w:val="left"/>
        <w:spacing w:before="0" w:after="200" w:line="240" w:lineRule="auto"/>
        <w:rPr>
          <w:b/>
          <w:bCs/>
        </w:rPr>
        <w:suppressLineNumbers w:val="0"/>
      </w:pPr>
      <w:r>
        <w:rPr>
          <w:b/>
          <w:bCs/>
        </w:rPr>
        <w:t xml:space="preserve">10. Налоговая отчетность (декларация по налогу на прибыль, по НДС) за два последних периода с отметкой о принятии налоговыми органами. </w:t>
      </w:r>
      <w:r>
        <w:rPr>
          <w:b/>
          <w:bCs/>
        </w:rPr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rPr>
          <w:b/>
          <w:bCs/>
        </w:rPr>
        <w:t xml:space="preserve">11. Книга покупок, Книга продаж к соответствующим декларациям по НДС. 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  <w:r/>
    </w:p>
    <w:p>
      <w:pPr>
        <w:contextualSpacing w:val="0"/>
        <w:jc w:val="left"/>
        <w:spacing w:before="0" w:after="200" w:line="240" w:lineRule="auto"/>
        <w:rPr>
          <w:b/>
          <w:bCs/>
          <w:highlight w:val="none"/>
        </w:rPr>
        <w:suppressLineNumbers w:val="0"/>
      </w:pPr>
      <w:r>
        <w:rPr>
          <w:b/>
          <w:bCs/>
        </w:rPr>
        <w:t xml:space="preserve">Политика работы с поставщиками АО "Арконик СМЗ"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АО "Арконик СМЗ" выражает готовность работать с поставщиками на условиях взаимной добросовестности, честности и открытости и опирается на следующие документы при отборе поставщиков: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Постановление Пленума Высшего Арбитражного суда РФ «Об оценке арбитражными судами обоснованности получения налогоплательщиком налоговой выгоды» № 53 от 12.10.2006, 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ст. 54.1 Налогового кодекса РФ, 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Приказ Федеральной Налоговой Службы РФ от 30.05.2007 № ММ-3-06/333@ (ред. от 10.05.2012) «Об утверждении Концепции системы планирования выездных налоговых проверок», 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Методические рекомендации Центрального Банка РФ № 19-МР, 18-МР от 21.07.2017,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t xml:space="preserve">·         Методические рекомендации о повышении внимания кредитных организаций к отдельным операциям клиентов, утв. Банком России 13.04.2016 N 10-МР.</w:t>
      </w:r>
      <w:r/>
    </w:p>
    <w:p>
      <w:pPr>
        <w:contextualSpacing w:val="0"/>
        <w:jc w:val="left"/>
        <w:spacing w:before="0" w:after="200" w:line="240" w:lineRule="auto"/>
        <w:suppressLineNumbers w:val="0"/>
      </w:pPr>
      <w:r>
        <w:rPr>
          <w:highlight w:val="none"/>
        </w:rPr>
      </w:r>
      <w:r>
        <w:rPr>
          <w:highlight w:val="none"/>
        </w:rPr>
      </w:r>
      <w:r/>
    </w:p>
    <w:p>
      <w:r/>
      <w:r/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 w:customStyle="1">
    <w:name w:val="Пункт-3"/>
    <w:uiPriority w:val="99"/>
    <w:pPr>
      <w:numPr>
        <w:ilvl w:val="2"/>
        <w:numId w:val="0"/>
      </w:numPr>
      <w:contextualSpacing w:val="0"/>
      <w:ind w:left="-567" w:right="0" w:firstLine="567"/>
      <w:jc w:val="both"/>
      <w:keepLines w:val="0"/>
      <w:keepNext w:val="0"/>
      <w:pageBreakBefore w:val="0"/>
      <w:spacing w:before="0" w:beforeAutospacing="0" w:after="0" w:afterAutospacing="0" w:line="288" w:lineRule="auto"/>
      <w:shd w:val="nil" w:color="000000"/>
      <w:widowControl/>
      <w:tabs>
        <w:tab w:val="num" w:pos="1134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2023-01-25T09:52:26Z</dcterms:modified>
</cp:coreProperties>
</file>