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ТЕХНИЧЕСКОЕ ЗАДАНИЕ</w:t>
      </w:r>
    </w:p>
    <w:p w14:paraId="52BA3BAD" w14:textId="6BA8696F" w:rsidR="005916EE" w:rsidRDefault="00CC01F0" w:rsidP="005B376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1A60B7">
        <w:rPr>
          <w:rFonts w:ascii="Verdana" w:hAnsi="Verdana"/>
          <w:lang w:val="ru-RU"/>
        </w:rPr>
        <w:t xml:space="preserve">на </w:t>
      </w:r>
      <w:r w:rsidR="005B3763">
        <w:rPr>
          <w:rFonts w:ascii="Verdana" w:hAnsi="Verdana"/>
          <w:lang w:val="ru-RU"/>
        </w:rPr>
        <w:t>п</w:t>
      </w:r>
      <w:r w:rsidR="005B3763" w:rsidRPr="005B3763">
        <w:rPr>
          <w:rFonts w:ascii="Verdana" w:hAnsi="Verdana"/>
          <w:lang w:val="ru-RU"/>
        </w:rPr>
        <w:t>оставк</w:t>
      </w:r>
      <w:r w:rsidR="005B3763">
        <w:rPr>
          <w:rFonts w:ascii="Verdana" w:hAnsi="Verdana"/>
          <w:lang w:val="ru-RU"/>
        </w:rPr>
        <w:t>у</w:t>
      </w:r>
      <w:r w:rsidR="00057DDD">
        <w:rPr>
          <w:rFonts w:ascii="Verdana" w:hAnsi="Verdana"/>
          <w:lang w:val="ru-RU"/>
        </w:rPr>
        <w:t>/аренду</w:t>
      </w:r>
      <w:r w:rsidR="005B3763" w:rsidRPr="005B3763">
        <w:rPr>
          <w:rFonts w:ascii="Verdana" w:hAnsi="Verdana"/>
          <w:lang w:val="ru-RU"/>
        </w:rPr>
        <w:t xml:space="preserve"> контейнерного погрузчика </w:t>
      </w:r>
      <w:r w:rsidR="005916EE">
        <w:rPr>
          <w:rFonts w:ascii="Verdana" w:hAnsi="Verdana"/>
          <w:lang w:val="ru-RU"/>
        </w:rPr>
        <w:t>(ричстакер</w:t>
      </w:r>
      <w:r w:rsidR="005B3763">
        <w:rPr>
          <w:rFonts w:ascii="Verdana" w:hAnsi="Verdana"/>
          <w:lang w:val="ru-RU"/>
        </w:rPr>
        <w:t>а</w:t>
      </w:r>
      <w:r w:rsidR="005916EE">
        <w:rPr>
          <w:rFonts w:ascii="Verdana" w:hAnsi="Verdana"/>
          <w:lang w:val="ru-RU"/>
        </w:rPr>
        <w:t>)</w:t>
      </w:r>
    </w:p>
    <w:p w14:paraId="67D3FE57" w14:textId="04D74D39" w:rsidR="0065566F" w:rsidRPr="00FF4EC0" w:rsidRDefault="0056477D" w:rsidP="005916EE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__________</w:t>
      </w:r>
      <w:r w:rsidR="003A684E">
        <w:rPr>
          <w:rFonts w:ascii="Verdana" w:hAnsi="Verdana"/>
          <w:lang w:val="ru-RU"/>
        </w:rPr>
        <w:t>________________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FF4EC0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FF4EC0">
              <w:rPr>
                <w:rStyle w:val="ad"/>
                <w:rFonts w:ascii="Verdana" w:hAnsi="Verdana"/>
              </w:rPr>
              <w:t>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2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FF4EC0" w:rsidRDefault="00C52C7E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FF4EC0">
              <w:rPr>
                <w:rStyle w:val="ad"/>
                <w:rFonts w:ascii="Verdana" w:hAnsi="Verdana"/>
                <w:noProof/>
              </w:rPr>
              <w:t>1.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3FD15645" w:rsidR="00C46DEA" w:rsidRPr="00FF4EC0" w:rsidRDefault="00C52C7E" w:rsidP="00CC01F0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FF4EC0">
              <w:rPr>
                <w:rStyle w:val="ad"/>
                <w:rFonts w:ascii="Verdana" w:hAnsi="Verdana"/>
                <w:noProof/>
              </w:rPr>
              <w:t>2.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C01F0">
              <w:rPr>
                <w:rStyle w:val="ad"/>
                <w:rFonts w:ascii="Verdana" w:hAnsi="Verdana"/>
                <w:noProof/>
                <w:lang w:val="ru-RU"/>
              </w:rPr>
              <w:t>товара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0276CF33" w:rsidR="00C46DEA" w:rsidRPr="00FF4EC0" w:rsidRDefault="00C52C7E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1B084F">
              <w:rPr>
                <w:rStyle w:val="ad"/>
                <w:rFonts w:ascii="Verdana" w:hAnsi="Verdana"/>
                <w:noProof/>
                <w:lang w:val="ru-RU"/>
              </w:rPr>
              <w:t>3</w:t>
            </w:r>
            <w:r w:rsidR="00C46DEA" w:rsidRPr="00FF4EC0">
              <w:rPr>
                <w:rStyle w:val="ad"/>
                <w:rFonts w:ascii="Verdana" w:hAnsi="Verdana"/>
                <w:noProof/>
              </w:rPr>
              <w:t>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2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281CD5DD" w:rsidR="00C46DEA" w:rsidRPr="00FF4EC0" w:rsidRDefault="00C52C7E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1B084F">
              <w:rPr>
                <w:rStyle w:val="ad"/>
                <w:rFonts w:ascii="Verdana" w:hAnsi="Verdana"/>
                <w:noProof/>
                <w:lang w:val="ru-RU"/>
              </w:rPr>
              <w:t>4</w:t>
            </w:r>
            <w:r w:rsidR="00C46DEA" w:rsidRPr="00FF4EC0">
              <w:rPr>
                <w:rStyle w:val="ad"/>
                <w:rFonts w:ascii="Verdana" w:hAnsi="Verdana"/>
                <w:noProof/>
                <w:lang w:val="en-US"/>
              </w:rPr>
              <w:t>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3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68986F5B" w:rsidR="00C46DEA" w:rsidRPr="00FF4EC0" w:rsidRDefault="00C52C7E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1B084F">
              <w:rPr>
                <w:rStyle w:val="ad"/>
                <w:rFonts w:ascii="Verdana" w:hAnsi="Verdana"/>
                <w:noProof/>
                <w:lang w:val="ru-RU"/>
              </w:rPr>
              <w:t>5</w:t>
            </w:r>
            <w:r w:rsidR="00C46DEA" w:rsidRPr="00FF4EC0">
              <w:rPr>
                <w:rStyle w:val="ad"/>
                <w:rFonts w:ascii="Verdana" w:hAnsi="Verdana"/>
                <w:noProof/>
              </w:rPr>
              <w:t>.</w:t>
            </w:r>
            <w:r w:rsidR="00C46DEA" w:rsidRPr="00FF4EC0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FF4EC0">
              <w:rPr>
                <w:rFonts w:ascii="Verdana" w:hAnsi="Verdana"/>
                <w:noProof/>
                <w:webHidden/>
              </w:rPr>
              <w:tab/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FF4EC0">
              <w:rPr>
                <w:rFonts w:ascii="Verdana" w:hAnsi="Verdana"/>
                <w:noProof/>
                <w:webHidden/>
              </w:rPr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noProof/>
                <w:webHidden/>
              </w:rPr>
              <w:t>4</w:t>
            </w:r>
            <w:r w:rsidR="00C46DEA" w:rsidRPr="00FF4EC0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FF4EC0" w:rsidRDefault="00C52C7E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FF4EC0">
              <w:rPr>
                <w:rStyle w:val="ad"/>
                <w:rFonts w:ascii="Verdana" w:hAnsi="Verdana"/>
              </w:rPr>
              <w:t>II.</w:t>
            </w:r>
            <w:r w:rsidR="00C46DEA" w:rsidRPr="00FF4EC0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FF4EC0">
              <w:rPr>
                <w:rStyle w:val="ad"/>
                <w:rFonts w:ascii="Verdana" w:hAnsi="Verdana"/>
              </w:rPr>
              <w:t>Приложения</w:t>
            </w:r>
            <w:r w:rsidR="00C46DEA" w:rsidRPr="00FF4EC0">
              <w:rPr>
                <w:rFonts w:ascii="Verdana" w:hAnsi="Verdana"/>
                <w:webHidden/>
              </w:rPr>
              <w:tab/>
            </w:r>
            <w:r w:rsidR="00C46DEA" w:rsidRPr="00FF4EC0">
              <w:rPr>
                <w:rFonts w:ascii="Verdana" w:hAnsi="Verdana"/>
                <w:webHidden/>
              </w:rPr>
              <w:fldChar w:fldCharType="begin"/>
            </w:r>
            <w:r w:rsidR="00C46DEA" w:rsidRPr="00FF4EC0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FF4EC0">
              <w:rPr>
                <w:rFonts w:ascii="Verdana" w:hAnsi="Verdana"/>
                <w:webHidden/>
              </w:rPr>
            </w:r>
            <w:r w:rsidR="00C46DEA" w:rsidRPr="00FF4EC0">
              <w:rPr>
                <w:rFonts w:ascii="Verdana" w:hAnsi="Verdana"/>
                <w:webHidden/>
              </w:rPr>
              <w:fldChar w:fldCharType="separate"/>
            </w:r>
            <w:r w:rsidR="00C46DEA" w:rsidRPr="00FF4EC0">
              <w:rPr>
                <w:rFonts w:ascii="Verdana" w:hAnsi="Verdana"/>
                <w:webHidden/>
              </w:rPr>
              <w:t>5</w:t>
            </w:r>
            <w:r w:rsidR="00C46DEA" w:rsidRPr="00FF4EC0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20DF75E5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FF4EC0">
        <w:rPr>
          <w:rFonts w:ascii="Verdana" w:hAnsi="Verdana"/>
        </w:rPr>
        <w:t>Общие положения</w:t>
      </w:r>
      <w:bookmarkEnd w:id="20"/>
    </w:p>
    <w:p w14:paraId="672DC307" w14:textId="1F9AC5EB" w:rsidR="00E249B8" w:rsidRPr="00FF4EC0" w:rsidRDefault="004179B5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B30DF1">
        <w:rPr>
          <w:rFonts w:ascii="Verdana" w:hAnsi="Verdana"/>
          <w:b/>
          <w:bCs/>
          <w:lang w:val="ru-RU"/>
        </w:rPr>
        <w:t>1.1.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="00F15009"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r w:rsidR="00D410C3" w:rsidRPr="00FF4EC0">
        <w:rPr>
          <w:rFonts w:ascii="Verdana" w:hAnsi="Verdana"/>
        </w:rPr>
        <w:t>agr</w:t>
      </w:r>
      <w:r w:rsidR="00D410C3" w:rsidRPr="00FF4EC0">
        <w:rPr>
          <w:rFonts w:ascii="Verdana" w:hAnsi="Verdana"/>
          <w:lang w:val="ru-RU"/>
        </w:rPr>
        <w:t>.</w:t>
      </w:r>
      <w:r w:rsidR="00D410C3" w:rsidRPr="00FF4EC0">
        <w:rPr>
          <w:rFonts w:ascii="Verdana" w:hAnsi="Verdana"/>
        </w:rPr>
        <w:t>auto</w:t>
      </w:r>
      <w:r w:rsidR="00D410C3" w:rsidRPr="00FF4EC0">
        <w:rPr>
          <w:rFonts w:ascii="Verdana" w:hAnsi="Verdana"/>
          <w:lang w:val="ru-RU"/>
        </w:rPr>
        <w:t>/</w:t>
      </w:r>
      <w:r w:rsidR="00D410C3" w:rsidRPr="00FF4EC0">
        <w:rPr>
          <w:rFonts w:ascii="Verdana" w:hAnsi="Verdana"/>
        </w:rPr>
        <w:t>purchase</w:t>
      </w:r>
      <w:r w:rsidR="007063F0" w:rsidRPr="00FF4EC0">
        <w:rPr>
          <w:rFonts w:ascii="Verdana" w:hAnsi="Verdana"/>
          <w:lang w:val="ru-RU"/>
        </w:rPr>
        <w:t xml:space="preserve"> </w:t>
      </w:r>
      <w:r w:rsidR="00F15009"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244B91BB" w14:textId="1A538328" w:rsidR="00E249B8" w:rsidRPr="00FF4EC0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Направляя Коммерческое предложение</w:t>
      </w:r>
      <w:r w:rsidR="005916EE">
        <w:rPr>
          <w:rFonts w:ascii="Verdana" w:hAnsi="Verdana"/>
          <w:lang w:val="ru-RU"/>
        </w:rPr>
        <w:t>,</w:t>
      </w:r>
      <w:r w:rsidRPr="00FF4EC0">
        <w:rPr>
          <w:rFonts w:ascii="Verdana" w:hAnsi="Verdana"/>
          <w:lang w:val="ru-RU"/>
        </w:rPr>
        <w:t xml:space="preserve"> Участник конкурса подтверждает, что он ознакомлен с содержанием Условий и полностью принимает их положения.</w:t>
      </w:r>
    </w:p>
    <w:p w14:paraId="0F0760AC" w14:textId="40D775AA" w:rsidR="00881CA6" w:rsidRPr="00B30DF1" w:rsidRDefault="00881CA6" w:rsidP="004179B5">
      <w:pPr>
        <w:spacing w:after="0" w:line="240" w:lineRule="auto"/>
        <w:ind w:firstLine="708"/>
        <w:rPr>
          <w:rFonts w:ascii="Verdana" w:hAnsi="Verdana"/>
          <w:b/>
          <w:bCs/>
          <w:lang w:val="ru-RU"/>
        </w:rPr>
      </w:pPr>
      <w:r w:rsidRPr="00B30DF1">
        <w:rPr>
          <w:rFonts w:ascii="Verdana" w:hAnsi="Verdana"/>
          <w:b/>
          <w:bCs/>
          <w:lang w:val="ru-RU"/>
        </w:rPr>
        <w:t xml:space="preserve">1.2.Контактные данные </w:t>
      </w:r>
    </w:p>
    <w:p w14:paraId="2C471D29" w14:textId="677C0F8A" w:rsidR="00CB1B43" w:rsidRPr="002031DF" w:rsidRDefault="00B56ABA" w:rsidP="00B56ABA">
      <w:pPr>
        <w:suppressAutoHyphens/>
        <w:spacing w:after="0" w:line="320" w:lineRule="exact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</w:t>
      </w:r>
      <w:r w:rsidR="00CB1B43" w:rsidRPr="002031DF">
        <w:rPr>
          <w:rFonts w:ascii="Verdana" w:hAnsi="Verdana"/>
          <w:lang w:val="ru-RU"/>
        </w:rPr>
        <w:t>ООО «</w:t>
      </w:r>
      <w:r w:rsidR="00CB1B43">
        <w:rPr>
          <w:rFonts w:ascii="Verdana" w:hAnsi="Verdana"/>
          <w:lang w:val="ru-RU"/>
        </w:rPr>
        <w:t>АГК</w:t>
      </w:r>
      <w:r w:rsidR="00CB1B43" w:rsidRPr="002031DF">
        <w:rPr>
          <w:rFonts w:ascii="Verdana" w:hAnsi="Verdana"/>
          <w:lang w:val="ru-RU"/>
        </w:rPr>
        <w:t>», Калужская обл., г. Калуга, ул. Автомобильная 1.</w:t>
      </w:r>
    </w:p>
    <w:p w14:paraId="169B9971" w14:textId="5C52075F" w:rsidR="00881CA6" w:rsidRDefault="00CB1B43" w:rsidP="00CB1B43">
      <w:pPr>
        <w:spacing w:after="0" w:line="240" w:lineRule="auto"/>
        <w:ind w:left="708"/>
        <w:rPr>
          <w:rFonts w:ascii="Verdana" w:hAnsi="Verdana"/>
          <w:lang w:val="ru-RU"/>
        </w:rPr>
      </w:pPr>
      <w:r w:rsidRPr="002031DF">
        <w:rPr>
          <w:rFonts w:ascii="Verdana" w:hAnsi="Verdana"/>
          <w:lang w:val="ru-RU"/>
        </w:rPr>
        <w:t xml:space="preserve">При наличии вопросов по техническому заданию </w:t>
      </w:r>
      <w:r>
        <w:rPr>
          <w:rFonts w:ascii="Verdana" w:hAnsi="Verdana"/>
          <w:lang w:val="ru-RU"/>
        </w:rPr>
        <w:t xml:space="preserve">Участник конкурса </w:t>
      </w:r>
      <w:r w:rsidRPr="002031DF">
        <w:rPr>
          <w:rFonts w:ascii="Verdana" w:hAnsi="Verdana"/>
          <w:lang w:val="ru-RU"/>
        </w:rPr>
        <w:t>может обратиться к контактным лицам:</w:t>
      </w:r>
    </w:p>
    <w:p w14:paraId="51F19D27" w14:textId="6ACAC497" w:rsidR="00CB1B43" w:rsidRDefault="00CB1B43" w:rsidP="00CB1B43">
      <w:pPr>
        <w:spacing w:after="0" w:line="240" w:lineRule="auto"/>
        <w:ind w:left="708"/>
        <w:rPr>
          <w:rFonts w:ascii="Verdana" w:hAnsi="Verdana"/>
          <w:lang w:val="ru-RU"/>
        </w:rPr>
      </w:pPr>
    </w:p>
    <w:tbl>
      <w:tblPr>
        <w:tblW w:w="9214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984"/>
        <w:gridCol w:w="1985"/>
        <w:gridCol w:w="3281"/>
      </w:tblGrid>
      <w:tr w:rsidR="00CB1B43" w:rsidRPr="00D23872" w14:paraId="48643B93" w14:textId="77777777" w:rsidTr="00B56ABA">
        <w:trPr>
          <w:trHeight w:val="351"/>
        </w:trPr>
        <w:tc>
          <w:tcPr>
            <w:tcW w:w="1964" w:type="dxa"/>
          </w:tcPr>
          <w:p w14:paraId="0C7F1746" w14:textId="77777777" w:rsidR="00CB1B43" w:rsidRPr="002031DF" w:rsidRDefault="00CB1B43" w:rsidP="00171DF7">
            <w:pPr>
              <w:pStyle w:val="Styl1"/>
              <w:ind w:left="0"/>
              <w:jc w:val="both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Имя</w:t>
            </w:r>
          </w:p>
        </w:tc>
        <w:tc>
          <w:tcPr>
            <w:tcW w:w="1984" w:type="dxa"/>
          </w:tcPr>
          <w:p w14:paraId="02ACA29D" w14:textId="77777777" w:rsidR="00CB1B43" w:rsidRPr="002031DF" w:rsidRDefault="00CB1B43" w:rsidP="00171DF7">
            <w:pPr>
              <w:pStyle w:val="Styl1"/>
              <w:ind w:left="0"/>
              <w:jc w:val="both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Отдел</w:t>
            </w:r>
          </w:p>
        </w:tc>
        <w:tc>
          <w:tcPr>
            <w:tcW w:w="1985" w:type="dxa"/>
          </w:tcPr>
          <w:p w14:paraId="33E70DC5" w14:textId="77777777" w:rsidR="00CB1B43" w:rsidRPr="002031DF" w:rsidRDefault="00CB1B43" w:rsidP="00171DF7">
            <w:pPr>
              <w:pStyle w:val="Styl1"/>
              <w:ind w:left="0"/>
              <w:jc w:val="both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Телефон</w:t>
            </w:r>
          </w:p>
        </w:tc>
        <w:tc>
          <w:tcPr>
            <w:tcW w:w="3281" w:type="dxa"/>
          </w:tcPr>
          <w:p w14:paraId="420802E7" w14:textId="77777777" w:rsidR="00CB1B43" w:rsidRPr="002031DF" w:rsidRDefault="00CB1B43" w:rsidP="00171DF7">
            <w:pPr>
              <w:pStyle w:val="Styl1"/>
              <w:ind w:left="0"/>
              <w:jc w:val="both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E-mail</w:t>
            </w:r>
          </w:p>
        </w:tc>
      </w:tr>
      <w:tr w:rsidR="00CB1B43" w:rsidRPr="002031DF" w14:paraId="16DB9A39" w14:textId="77777777" w:rsidTr="00B56ABA">
        <w:trPr>
          <w:trHeight w:val="552"/>
        </w:trPr>
        <w:tc>
          <w:tcPr>
            <w:tcW w:w="1964" w:type="dxa"/>
          </w:tcPr>
          <w:p w14:paraId="484E4035" w14:textId="7B11A95A" w:rsidR="00CB1B43" w:rsidRPr="002031DF" w:rsidRDefault="00B56ABA" w:rsidP="00171DF7">
            <w:pPr>
              <w:pStyle w:val="Styl1"/>
              <w:spacing w:line="240" w:lineRule="auto"/>
              <w:ind w:left="0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Гамалинский Евгений</w:t>
            </w:r>
          </w:p>
        </w:tc>
        <w:tc>
          <w:tcPr>
            <w:tcW w:w="1984" w:type="dxa"/>
          </w:tcPr>
          <w:p w14:paraId="7D0207DE" w14:textId="77777777" w:rsidR="00CB1B43" w:rsidRPr="002031DF" w:rsidRDefault="00CB1B43" w:rsidP="00171DF7">
            <w:pPr>
              <w:pStyle w:val="Styl1"/>
              <w:spacing w:line="240" w:lineRule="auto"/>
              <w:ind w:left="0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 w:rsidRPr="002031DF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Логистическое планирование</w:t>
            </w:r>
          </w:p>
        </w:tc>
        <w:tc>
          <w:tcPr>
            <w:tcW w:w="1985" w:type="dxa"/>
          </w:tcPr>
          <w:p w14:paraId="51F4CEF3" w14:textId="25743B33" w:rsidR="00CB1B43" w:rsidRPr="002031DF" w:rsidRDefault="00CB1B43" w:rsidP="00B56ABA">
            <w:pPr>
              <w:pStyle w:val="Styl1"/>
              <w:spacing w:line="240" w:lineRule="auto"/>
              <w:ind w:left="0"/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</w:pPr>
            <w:r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+7920099</w:t>
            </w:r>
            <w:r w:rsidR="00B56ABA">
              <w:rPr>
                <w:rFonts w:ascii="Verdana" w:hAnsi="Verdana" w:cs="Times New Roman"/>
                <w:kern w:val="10"/>
                <w:sz w:val="22"/>
                <w:szCs w:val="22"/>
                <w:lang w:val="ru-RU" w:eastAsia="de-DE"/>
              </w:rPr>
              <w:t>6025</w:t>
            </w:r>
          </w:p>
        </w:tc>
        <w:tc>
          <w:tcPr>
            <w:tcW w:w="3281" w:type="dxa"/>
          </w:tcPr>
          <w:p w14:paraId="37B4317F" w14:textId="250A1E3B" w:rsidR="00CB1B43" w:rsidRPr="002031DF" w:rsidRDefault="00B56ABA" w:rsidP="00171DF7">
            <w:pPr>
              <w:rPr>
                <w:rFonts w:ascii="Verdana" w:hAnsi="Verdana"/>
                <w:lang w:val="ru-RU"/>
              </w:rPr>
            </w:pPr>
            <w:r w:rsidRPr="00B56ABA">
              <w:t>Evgenij.Gamalinskij@agr.auto</w:t>
            </w:r>
          </w:p>
        </w:tc>
      </w:tr>
    </w:tbl>
    <w:p w14:paraId="7FE4BA9B" w14:textId="77777777" w:rsidR="00CB1B43" w:rsidRPr="00FF4EC0" w:rsidRDefault="00CB1B43" w:rsidP="00CB1B43">
      <w:pPr>
        <w:spacing w:after="0" w:line="240" w:lineRule="auto"/>
        <w:ind w:left="708"/>
        <w:rPr>
          <w:rFonts w:ascii="Verdana" w:hAnsi="Verdana"/>
          <w:lang w:val="ru-RU"/>
        </w:rPr>
      </w:pPr>
    </w:p>
    <w:p w14:paraId="26DDFC2D" w14:textId="68FDA1F5" w:rsidR="00F15009" w:rsidRPr="00B30DF1" w:rsidRDefault="00F15009" w:rsidP="00AF191D">
      <w:pPr>
        <w:spacing w:after="0" w:line="240" w:lineRule="auto"/>
        <w:ind w:left="708"/>
        <w:rPr>
          <w:rFonts w:ascii="Verdana" w:hAnsi="Verdana"/>
          <w:b/>
          <w:bCs/>
          <w:lang w:val="ru-RU"/>
        </w:rPr>
      </w:pPr>
      <w:r w:rsidRPr="00B30DF1">
        <w:rPr>
          <w:rFonts w:ascii="Verdana" w:hAnsi="Verdana"/>
          <w:b/>
          <w:bCs/>
          <w:lang w:val="ru-RU"/>
        </w:rPr>
        <w:t>1.</w:t>
      </w:r>
      <w:r w:rsidR="00881CA6" w:rsidRPr="00B30DF1">
        <w:rPr>
          <w:rFonts w:ascii="Verdana" w:hAnsi="Verdana"/>
          <w:b/>
          <w:bCs/>
          <w:lang w:val="ru-RU"/>
        </w:rPr>
        <w:t>3</w:t>
      </w:r>
      <w:r w:rsidRPr="00B30DF1">
        <w:rPr>
          <w:rFonts w:ascii="Verdana" w:hAnsi="Verdana"/>
          <w:b/>
          <w:bCs/>
          <w:lang w:val="ru-RU"/>
        </w:rPr>
        <w:t xml:space="preserve">. </w:t>
      </w:r>
      <w:r w:rsidR="00881CA6" w:rsidRPr="00B30DF1">
        <w:rPr>
          <w:rFonts w:ascii="Verdana" w:hAnsi="Verdana"/>
          <w:b/>
          <w:bCs/>
          <w:lang w:val="ru-RU"/>
        </w:rPr>
        <w:t xml:space="preserve">Общая информация о проекте </w:t>
      </w:r>
    </w:p>
    <w:p w14:paraId="4DA7D96E" w14:textId="3FAB4F93" w:rsidR="00CB1B43" w:rsidRDefault="00CB1B43" w:rsidP="005B376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Verdana" w:eastAsia="ArialMT" w:hAnsi="Verdana" w:cs="Arial"/>
          <w:kern w:val="0"/>
          <w:lang w:val="ru-RU"/>
        </w:rPr>
      </w:pPr>
      <w:r w:rsidRPr="004C160D">
        <w:rPr>
          <w:rFonts w:ascii="Verdana" w:eastAsia="ArialMT" w:hAnsi="Verdana" w:cs="ArialMT"/>
          <w:kern w:val="0"/>
          <w:lang w:val="ru-RU"/>
        </w:rPr>
        <w:t xml:space="preserve">Техническое задание составлено </w:t>
      </w:r>
      <w:r>
        <w:rPr>
          <w:rFonts w:ascii="Verdana" w:eastAsia="ArialMT" w:hAnsi="Verdana" w:cs="ArialMT"/>
          <w:kern w:val="0"/>
          <w:lang w:val="ru-RU"/>
        </w:rPr>
        <w:t>с целью выбора Контраг</w:t>
      </w:r>
      <w:r w:rsidRPr="001A3F2E">
        <w:rPr>
          <w:rFonts w:ascii="Verdana" w:eastAsia="ArialMT" w:hAnsi="Verdana" w:cs="ArialMT"/>
          <w:kern w:val="0"/>
          <w:lang w:val="ru-RU"/>
        </w:rPr>
        <w:t>е</w:t>
      </w:r>
      <w:r>
        <w:rPr>
          <w:rFonts w:ascii="Verdana" w:eastAsia="ArialMT" w:hAnsi="Verdana" w:cs="ArialMT"/>
          <w:kern w:val="0"/>
          <w:lang w:val="ru-RU"/>
        </w:rPr>
        <w:t>нта/Ко</w:t>
      </w:r>
      <w:r w:rsidRPr="001A3F2E">
        <w:rPr>
          <w:rFonts w:ascii="Verdana" w:eastAsia="ArialMT" w:hAnsi="Verdana" w:cs="ArialMT"/>
          <w:kern w:val="0"/>
          <w:lang w:val="ru-RU"/>
        </w:rPr>
        <w:t>н</w:t>
      </w:r>
      <w:r>
        <w:rPr>
          <w:rFonts w:ascii="Verdana" w:eastAsia="ArialMT" w:hAnsi="Verdana" w:cs="ArialMT"/>
          <w:kern w:val="0"/>
          <w:lang w:val="ru-RU"/>
        </w:rPr>
        <w:t>т</w:t>
      </w:r>
      <w:r w:rsidRPr="001A3F2E">
        <w:rPr>
          <w:rFonts w:ascii="Verdana" w:eastAsia="ArialMT" w:hAnsi="Verdana" w:cs="ArialMT"/>
          <w:kern w:val="0"/>
          <w:lang w:val="ru-RU"/>
        </w:rPr>
        <w:t xml:space="preserve">рагентов для заключения договора/договоров на </w:t>
      </w:r>
      <w:r w:rsidR="005B3763">
        <w:rPr>
          <w:rFonts w:ascii="Verdana" w:eastAsia="ArialMT" w:hAnsi="Verdana" w:cs="ArialMT"/>
          <w:kern w:val="0"/>
          <w:lang w:val="ru-RU"/>
        </w:rPr>
        <w:t>п</w:t>
      </w:r>
      <w:r w:rsidR="005B3763" w:rsidRPr="005B3763">
        <w:rPr>
          <w:rFonts w:ascii="Verdana" w:eastAsia="ArialMT" w:hAnsi="Verdana" w:cs="ArialMT"/>
          <w:kern w:val="0"/>
          <w:lang w:val="ru-RU"/>
        </w:rPr>
        <w:t>оставк</w:t>
      </w:r>
      <w:r w:rsidR="005B3763">
        <w:rPr>
          <w:rFonts w:ascii="Verdana" w:eastAsia="ArialMT" w:hAnsi="Verdana" w:cs="ArialMT"/>
          <w:kern w:val="0"/>
          <w:lang w:val="ru-RU"/>
        </w:rPr>
        <w:t>у</w:t>
      </w:r>
      <w:r w:rsidR="00057DDD">
        <w:rPr>
          <w:rFonts w:ascii="Verdana" w:hAnsi="Verdana"/>
          <w:lang w:val="ru-RU"/>
        </w:rPr>
        <w:t>/аренду</w:t>
      </w:r>
      <w:r w:rsidR="005B3763" w:rsidRPr="005B3763">
        <w:rPr>
          <w:rFonts w:ascii="Verdana" w:eastAsia="ArialMT" w:hAnsi="Verdana" w:cs="ArialMT"/>
          <w:kern w:val="0"/>
          <w:lang w:val="ru-RU"/>
        </w:rPr>
        <w:t xml:space="preserve"> контейнерного погрузчика</w:t>
      </w:r>
      <w:r w:rsidRPr="004C160D">
        <w:rPr>
          <w:rFonts w:ascii="Verdana" w:eastAsia="ArialMT" w:hAnsi="Verdana" w:cs="ArialMT"/>
          <w:kern w:val="0"/>
          <w:lang w:val="ru-RU"/>
        </w:rPr>
        <w:t xml:space="preserve"> </w:t>
      </w:r>
      <w:r w:rsidR="005B3763">
        <w:rPr>
          <w:rFonts w:ascii="Verdana" w:eastAsia="ArialMT" w:hAnsi="Verdana" w:cs="ArialMT"/>
          <w:kern w:val="0"/>
          <w:lang w:val="ru-RU"/>
        </w:rPr>
        <w:t>для</w:t>
      </w:r>
      <w:r w:rsidRPr="004C160D">
        <w:rPr>
          <w:rFonts w:ascii="Verdana" w:eastAsia="ArialMT" w:hAnsi="Verdana" w:cs="ArialMT"/>
          <w:kern w:val="0"/>
          <w:lang w:val="ru-RU"/>
        </w:rPr>
        <w:t xml:space="preserve"> ООО </w:t>
      </w:r>
      <w:r>
        <w:rPr>
          <w:rFonts w:ascii="Verdana" w:eastAsia="ArialMT" w:hAnsi="Verdana" w:cs="ArialMT"/>
          <w:kern w:val="0"/>
          <w:lang w:val="ru-RU"/>
        </w:rPr>
        <w:t>«АГК</w:t>
      </w:r>
      <w:r w:rsidRPr="004C160D">
        <w:rPr>
          <w:rFonts w:ascii="Verdana" w:eastAsia="ArialMT" w:hAnsi="Verdana" w:cs="Arial"/>
          <w:kern w:val="0"/>
          <w:lang w:val="ru-RU"/>
        </w:rPr>
        <w:t>».</w:t>
      </w:r>
    </w:p>
    <w:p w14:paraId="15E1C831" w14:textId="21A10C3C" w:rsidR="00881CA6" w:rsidRPr="00FF4EC0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498274B1" w:rsidR="00130983" w:rsidRPr="00FF4EC0" w:rsidRDefault="00881CA6" w:rsidP="00B63EC3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FF4EC0">
        <w:rPr>
          <w:rFonts w:ascii="Verdana" w:hAnsi="Verdana"/>
        </w:rPr>
        <w:t>Описание</w:t>
      </w:r>
      <w:r w:rsidR="0043359F" w:rsidRPr="00FF4EC0">
        <w:rPr>
          <w:rFonts w:ascii="Verdana" w:hAnsi="Verdana"/>
        </w:rPr>
        <w:t xml:space="preserve">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="00465FE8">
        <w:rPr>
          <w:rFonts w:ascii="Verdana" w:hAnsi="Verdana"/>
        </w:rPr>
        <w:t xml:space="preserve">товаров и </w:t>
      </w:r>
      <w:r w:rsidR="00B63EC3">
        <w:rPr>
          <w:rFonts w:ascii="Verdana" w:hAnsi="Verdana"/>
        </w:rPr>
        <w:t>услуг</w:t>
      </w:r>
    </w:p>
    <w:p w14:paraId="20E60E5E" w14:textId="3A12A67D" w:rsidR="004179B5" w:rsidRPr="00B30DF1" w:rsidRDefault="00CB1B43" w:rsidP="00B63EC3">
      <w:pPr>
        <w:pStyle w:val="aa"/>
        <w:numPr>
          <w:ilvl w:val="1"/>
          <w:numId w:val="18"/>
        </w:numPr>
        <w:spacing w:after="0" w:line="240" w:lineRule="auto"/>
        <w:ind w:left="1276" w:hanging="567"/>
        <w:jc w:val="both"/>
        <w:rPr>
          <w:rFonts w:ascii="Verdana" w:hAnsi="Verdana"/>
          <w:b/>
          <w:bCs/>
          <w:lang w:val="ru-RU"/>
        </w:rPr>
      </w:pPr>
      <w:r w:rsidRPr="00B30DF1">
        <w:rPr>
          <w:rFonts w:ascii="Verdana" w:hAnsi="Verdana"/>
          <w:b/>
          <w:bCs/>
          <w:lang w:val="ru-RU"/>
        </w:rPr>
        <w:t xml:space="preserve">Перечень и характеристики </w:t>
      </w:r>
      <w:r w:rsidR="00465FE8">
        <w:rPr>
          <w:rFonts w:ascii="Verdana" w:hAnsi="Verdana"/>
          <w:b/>
          <w:bCs/>
          <w:lang w:val="ru-RU"/>
        </w:rPr>
        <w:t xml:space="preserve">товаров и </w:t>
      </w:r>
      <w:r w:rsidR="005E4A4C">
        <w:rPr>
          <w:rFonts w:ascii="Verdana" w:hAnsi="Verdana"/>
          <w:b/>
          <w:bCs/>
          <w:lang w:val="ru-RU"/>
        </w:rPr>
        <w:t>услуг</w:t>
      </w:r>
    </w:p>
    <w:p w14:paraId="7CE54176" w14:textId="29E092BC" w:rsidR="00B63EC3" w:rsidRPr="00B63EC3" w:rsidRDefault="00B63EC3" w:rsidP="005B3763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B63EC3">
        <w:rPr>
          <w:rFonts w:ascii="Verdana" w:hAnsi="Verdana"/>
          <w:lang w:val="ru-RU"/>
        </w:rPr>
        <w:t xml:space="preserve">Объём </w:t>
      </w:r>
      <w:r w:rsidR="00465FE8">
        <w:rPr>
          <w:rFonts w:ascii="Verdana" w:hAnsi="Verdana"/>
          <w:lang w:val="ru-RU"/>
        </w:rPr>
        <w:t xml:space="preserve">товаров и </w:t>
      </w:r>
      <w:r w:rsidRPr="00B63EC3">
        <w:rPr>
          <w:rFonts w:ascii="Verdana" w:hAnsi="Verdana"/>
          <w:lang w:val="ru-RU"/>
        </w:rPr>
        <w:t>услуг включает:</w:t>
      </w:r>
      <w:r>
        <w:rPr>
          <w:rFonts w:ascii="Verdana" w:hAnsi="Verdana"/>
          <w:lang w:val="ru-RU"/>
        </w:rPr>
        <w:t xml:space="preserve"> </w:t>
      </w:r>
      <w:r w:rsidR="005B3763">
        <w:rPr>
          <w:rFonts w:ascii="Verdana" w:hAnsi="Verdana"/>
          <w:lang w:val="ru-RU"/>
        </w:rPr>
        <w:t>закупку и поставку</w:t>
      </w:r>
      <w:r w:rsidR="00057DDD">
        <w:rPr>
          <w:rFonts w:ascii="Verdana" w:hAnsi="Verdana"/>
          <w:lang w:val="ru-RU"/>
        </w:rPr>
        <w:t xml:space="preserve"> (или аренду)</w:t>
      </w:r>
      <w:r w:rsidR="005B3763" w:rsidRPr="005B3763">
        <w:rPr>
          <w:rFonts w:ascii="Verdana" w:hAnsi="Verdana"/>
          <w:lang w:val="ru-RU"/>
        </w:rPr>
        <w:t xml:space="preserve"> контейнерного погрузчика</w:t>
      </w:r>
      <w:r w:rsidRPr="00B63EC3">
        <w:rPr>
          <w:rFonts w:ascii="Verdana" w:hAnsi="Verdana"/>
          <w:lang w:val="ru-RU"/>
        </w:rPr>
        <w:t xml:space="preserve"> </w:t>
      </w:r>
      <w:r w:rsidR="005B3763">
        <w:rPr>
          <w:rFonts w:ascii="Verdana" w:hAnsi="Verdana"/>
          <w:lang w:val="ru-RU"/>
        </w:rPr>
        <w:t>на территорию</w:t>
      </w:r>
      <w:r w:rsidRPr="00B63EC3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АГК</w:t>
      </w:r>
      <w:r w:rsidRPr="00B63EC3">
        <w:rPr>
          <w:rFonts w:ascii="Verdana" w:hAnsi="Verdana"/>
          <w:lang w:val="ru-RU"/>
        </w:rPr>
        <w:t>:</w:t>
      </w:r>
    </w:p>
    <w:p w14:paraId="020D4C00" w14:textId="23038851" w:rsidR="00B63EC3" w:rsidRPr="00B63EC3" w:rsidRDefault="00B63EC3" w:rsidP="005B3763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B63EC3">
        <w:rPr>
          <w:rFonts w:ascii="Verdana" w:hAnsi="Verdana"/>
          <w:lang w:val="ru-RU"/>
        </w:rPr>
        <w:t>-</w:t>
      </w:r>
      <w:r>
        <w:rPr>
          <w:rFonts w:ascii="Verdana" w:hAnsi="Verdana"/>
          <w:lang w:val="ru-RU"/>
        </w:rPr>
        <w:t xml:space="preserve"> </w:t>
      </w:r>
      <w:r w:rsidR="005B3763" w:rsidRPr="005B3763">
        <w:rPr>
          <w:rFonts w:ascii="Verdana" w:hAnsi="Verdana"/>
          <w:lang w:val="ru-RU"/>
        </w:rPr>
        <w:t>Поставка контейнерного погрузчика</w:t>
      </w:r>
      <w:r w:rsidR="005B3763">
        <w:rPr>
          <w:rFonts w:ascii="Verdana" w:hAnsi="Verdana"/>
          <w:lang w:val="ru-RU"/>
        </w:rPr>
        <w:t xml:space="preserve"> на территорию АГК</w:t>
      </w:r>
    </w:p>
    <w:p w14:paraId="662EC9B2" w14:textId="3EF77651" w:rsidR="00465FE8" w:rsidRDefault="00B63EC3" w:rsidP="005B3763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B63EC3">
        <w:rPr>
          <w:rFonts w:ascii="Verdana" w:hAnsi="Verdana"/>
          <w:lang w:val="ru-RU"/>
        </w:rPr>
        <w:t>-</w:t>
      </w:r>
      <w:r>
        <w:rPr>
          <w:rFonts w:ascii="Verdana" w:hAnsi="Verdana"/>
          <w:lang w:val="ru-RU"/>
        </w:rPr>
        <w:t xml:space="preserve"> </w:t>
      </w:r>
      <w:r w:rsidR="005B3763">
        <w:rPr>
          <w:rFonts w:ascii="Verdana" w:hAnsi="Verdana"/>
          <w:lang w:val="ru-RU"/>
        </w:rPr>
        <w:t xml:space="preserve">Сборка и ввод в эксплуатацию </w:t>
      </w:r>
      <w:r w:rsidR="005B3763" w:rsidRPr="005B3763">
        <w:rPr>
          <w:rFonts w:ascii="Verdana" w:hAnsi="Verdana"/>
          <w:lang w:val="ru-RU"/>
        </w:rPr>
        <w:t>контейнерного погрузчика</w:t>
      </w:r>
    </w:p>
    <w:p w14:paraId="3682DFC3" w14:textId="78177C27" w:rsidR="00057DDD" w:rsidRDefault="00057DDD" w:rsidP="00057DDD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- Предоставление в аренду</w:t>
      </w:r>
      <w:r w:rsidRPr="005B3763">
        <w:rPr>
          <w:rFonts w:ascii="Verdana" w:hAnsi="Verdana"/>
          <w:lang w:val="ru-RU"/>
        </w:rPr>
        <w:t xml:space="preserve"> контейнерного погрузчика</w:t>
      </w:r>
      <w:r>
        <w:rPr>
          <w:rFonts w:ascii="Verdana" w:hAnsi="Verdana"/>
          <w:lang w:val="ru-RU"/>
        </w:rPr>
        <w:t xml:space="preserve"> на территорию АГК</w:t>
      </w:r>
    </w:p>
    <w:p w14:paraId="5329407D" w14:textId="0D669C6B" w:rsidR="00B63EC3" w:rsidRDefault="00465FE8" w:rsidP="005B3763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Некоторые характеристики </w:t>
      </w:r>
      <w:r w:rsidRPr="00465FE8">
        <w:rPr>
          <w:rFonts w:ascii="Verdana" w:hAnsi="Verdana"/>
          <w:lang w:val="ru-RU"/>
        </w:rPr>
        <w:t>контейнерного погрузчика</w:t>
      </w:r>
      <w:r w:rsidR="00B63EC3" w:rsidRPr="00B63EC3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представлены в</w:t>
      </w:r>
      <w:r w:rsidR="003C78EB">
        <w:rPr>
          <w:rFonts w:ascii="Verdana" w:hAnsi="Verdana"/>
          <w:lang w:val="ru-RU"/>
        </w:rPr>
        <w:t xml:space="preserve"> Таблице 1.</w:t>
      </w:r>
    </w:p>
    <w:p w14:paraId="348B7828" w14:textId="7D2E033D" w:rsidR="003C78EB" w:rsidRDefault="003C78EB" w:rsidP="005B3763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</w:p>
    <w:p w14:paraId="693F3B83" w14:textId="47ABF16E" w:rsidR="00AC744D" w:rsidRPr="00AC744D" w:rsidRDefault="00AC744D" w:rsidP="005B3763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Таблица 1. </w:t>
      </w:r>
      <w:r w:rsidRPr="00AC744D">
        <w:rPr>
          <w:rFonts w:ascii="Verdana" w:hAnsi="Verdana"/>
        </w:rPr>
        <w:t>Характеристики контейнерного погрузчика</w:t>
      </w:r>
      <w:r>
        <w:rPr>
          <w:rFonts w:ascii="Verdana" w:hAnsi="Verdana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2"/>
        <w:gridCol w:w="6622"/>
      </w:tblGrid>
      <w:tr w:rsidR="00AC744D" w:rsidRPr="00AC744D" w14:paraId="74351A15" w14:textId="77777777" w:rsidTr="00AC744D">
        <w:trPr>
          <w:trHeight w:val="285"/>
        </w:trPr>
        <w:tc>
          <w:tcPr>
            <w:tcW w:w="11920" w:type="dxa"/>
            <w:gridSpan w:val="2"/>
            <w:noWrap/>
            <w:hideMark/>
          </w:tcPr>
          <w:p w14:paraId="3C250B73" w14:textId="77777777" w:rsidR="00AC744D" w:rsidRPr="00AC744D" w:rsidRDefault="00AC744D" w:rsidP="00AC744D">
            <w:pPr>
              <w:spacing w:after="0" w:line="240" w:lineRule="auto"/>
              <w:ind w:left="708"/>
              <w:jc w:val="both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Характеристики контейнерного погрузчика</w:t>
            </w:r>
          </w:p>
        </w:tc>
      </w:tr>
      <w:tr w:rsidR="00AC744D" w:rsidRPr="00057DDD" w14:paraId="6A51D15B" w14:textId="77777777" w:rsidTr="00AC744D">
        <w:trPr>
          <w:trHeight w:val="1995"/>
        </w:trPr>
        <w:tc>
          <w:tcPr>
            <w:tcW w:w="3220" w:type="dxa"/>
            <w:hideMark/>
          </w:tcPr>
          <w:p w14:paraId="343699A1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Грузоподъёмность</w:t>
            </w:r>
          </w:p>
        </w:tc>
        <w:tc>
          <w:tcPr>
            <w:tcW w:w="8700" w:type="dxa"/>
            <w:hideMark/>
          </w:tcPr>
          <w:p w14:paraId="2DB09506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Под спредером:</w:t>
            </w:r>
            <w:r w:rsidRPr="00AC744D">
              <w:rPr>
                <w:rFonts w:ascii="Verdana" w:hAnsi="Verdana"/>
                <w:lang w:val="ru-RU"/>
              </w:rPr>
              <w:br/>
              <w:t xml:space="preserve">1 ряд (4 яруса 8’6”/9'6” </w:t>
            </w:r>
            <w:r w:rsidRPr="00AC744D">
              <w:rPr>
                <w:rFonts w:ascii="Verdana" w:hAnsi="Verdana"/>
              </w:rPr>
              <w:t>ISO</w:t>
            </w:r>
            <w:r w:rsidRPr="00AC744D">
              <w:rPr>
                <w:rFonts w:ascii="Verdana" w:hAnsi="Verdana"/>
                <w:lang w:val="ru-RU"/>
              </w:rPr>
              <w:t xml:space="preserve"> контейнеров – не менее 45 000 кг, 5-ый ярус 8’6”/9’6” </w:t>
            </w:r>
            <w:r w:rsidRPr="00AC744D">
              <w:rPr>
                <w:rFonts w:ascii="Verdana" w:hAnsi="Verdana"/>
              </w:rPr>
              <w:t>ISO</w:t>
            </w:r>
            <w:r w:rsidRPr="00AC744D">
              <w:rPr>
                <w:rFonts w:ascii="Verdana" w:hAnsi="Verdana"/>
                <w:lang w:val="ru-RU"/>
              </w:rPr>
              <w:t xml:space="preserve"> контейнеров – не менее 43 000 кг)</w:t>
            </w:r>
            <w:r w:rsidRPr="00AC744D">
              <w:rPr>
                <w:rFonts w:ascii="Verdana" w:hAnsi="Verdana"/>
                <w:lang w:val="ru-RU"/>
              </w:rPr>
              <w:br/>
              <w:t xml:space="preserve">2 ряд (4 яруса 8’6”/9’6” </w:t>
            </w:r>
            <w:r w:rsidRPr="00AC744D">
              <w:rPr>
                <w:rFonts w:ascii="Verdana" w:hAnsi="Verdana"/>
              </w:rPr>
              <w:t>ISO</w:t>
            </w:r>
            <w:r w:rsidRPr="00AC744D">
              <w:rPr>
                <w:rFonts w:ascii="Verdana" w:hAnsi="Verdana"/>
                <w:lang w:val="ru-RU"/>
              </w:rPr>
              <w:t xml:space="preserve"> контейнеров) – не менее 31 000 кг, 5-ый ярус 8’6” </w:t>
            </w:r>
            <w:r w:rsidRPr="00AC744D">
              <w:rPr>
                <w:rFonts w:ascii="Verdana" w:hAnsi="Verdana"/>
              </w:rPr>
              <w:t>ISO</w:t>
            </w:r>
            <w:r w:rsidRPr="00AC744D">
              <w:rPr>
                <w:rFonts w:ascii="Verdana" w:hAnsi="Verdana"/>
                <w:lang w:val="ru-RU"/>
              </w:rPr>
              <w:t xml:space="preserve"> контейнеров – не менее 30 000 кг</w:t>
            </w:r>
            <w:r w:rsidRPr="00AC744D">
              <w:rPr>
                <w:rFonts w:ascii="Verdana" w:hAnsi="Verdana"/>
                <w:lang w:val="ru-RU"/>
              </w:rPr>
              <w:br/>
            </w:r>
            <w:r w:rsidRPr="00AC744D">
              <w:rPr>
                <w:rFonts w:ascii="Verdana" w:hAnsi="Verdana"/>
                <w:lang w:val="ru-RU"/>
              </w:rPr>
              <w:lastRenderedPageBreak/>
              <w:t xml:space="preserve">3 ряд (3 яруса 8’6”/ 9’6” </w:t>
            </w:r>
            <w:r w:rsidRPr="00AC744D">
              <w:rPr>
                <w:rFonts w:ascii="Verdana" w:hAnsi="Verdana"/>
              </w:rPr>
              <w:t>ISO</w:t>
            </w:r>
            <w:r w:rsidRPr="00AC744D">
              <w:rPr>
                <w:rFonts w:ascii="Verdana" w:hAnsi="Verdana"/>
                <w:lang w:val="ru-RU"/>
              </w:rPr>
              <w:t xml:space="preserve"> контейнеров) – не менее 15 000 кг, 4-ый ярус 8’6” </w:t>
            </w:r>
            <w:r w:rsidRPr="00AC744D">
              <w:rPr>
                <w:rFonts w:ascii="Verdana" w:hAnsi="Verdana"/>
              </w:rPr>
              <w:t>ISO</w:t>
            </w:r>
            <w:r w:rsidRPr="00AC744D">
              <w:rPr>
                <w:rFonts w:ascii="Verdana" w:hAnsi="Verdana"/>
                <w:lang w:val="ru-RU"/>
              </w:rPr>
              <w:t xml:space="preserve"> контейнеров – не менее 14 000 кг)</w:t>
            </w:r>
          </w:p>
        </w:tc>
      </w:tr>
      <w:tr w:rsidR="00AC744D" w:rsidRPr="00AC744D" w14:paraId="63640E51" w14:textId="77777777" w:rsidTr="00AC744D">
        <w:trPr>
          <w:trHeight w:val="570"/>
        </w:trPr>
        <w:tc>
          <w:tcPr>
            <w:tcW w:w="3220" w:type="dxa"/>
            <w:hideMark/>
          </w:tcPr>
          <w:p w14:paraId="5FD98984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lastRenderedPageBreak/>
              <w:t xml:space="preserve">Ширина проезда с 40-футовым контейнером </w:t>
            </w:r>
          </w:p>
        </w:tc>
        <w:tc>
          <w:tcPr>
            <w:tcW w:w="8700" w:type="dxa"/>
            <w:hideMark/>
          </w:tcPr>
          <w:p w14:paraId="377D77A7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не более 13600 мм</w:t>
            </w:r>
          </w:p>
        </w:tc>
      </w:tr>
      <w:tr w:rsidR="00AC744D" w:rsidRPr="00AC744D" w14:paraId="7C4E3173" w14:textId="77777777" w:rsidTr="00AC744D">
        <w:trPr>
          <w:trHeight w:val="285"/>
        </w:trPr>
        <w:tc>
          <w:tcPr>
            <w:tcW w:w="3220" w:type="dxa"/>
            <w:hideMark/>
          </w:tcPr>
          <w:p w14:paraId="108632AA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Радиус поворота</w:t>
            </w:r>
          </w:p>
        </w:tc>
        <w:tc>
          <w:tcPr>
            <w:tcW w:w="8700" w:type="dxa"/>
            <w:hideMark/>
          </w:tcPr>
          <w:p w14:paraId="07525331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не более 8000 мм</w:t>
            </w:r>
          </w:p>
        </w:tc>
      </w:tr>
      <w:tr w:rsidR="00AC744D" w:rsidRPr="00AC744D" w14:paraId="7B3C1CA0" w14:textId="77777777" w:rsidTr="00AC744D">
        <w:trPr>
          <w:trHeight w:val="570"/>
        </w:trPr>
        <w:tc>
          <w:tcPr>
            <w:tcW w:w="3220" w:type="dxa"/>
            <w:hideMark/>
          </w:tcPr>
          <w:p w14:paraId="5ECC00E3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Нагрузка на переднюю ось с грузом</w:t>
            </w:r>
          </w:p>
        </w:tc>
        <w:tc>
          <w:tcPr>
            <w:tcW w:w="8700" w:type="dxa"/>
            <w:hideMark/>
          </w:tcPr>
          <w:p w14:paraId="534AE4E6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не более 99,3 т</w:t>
            </w:r>
          </w:p>
        </w:tc>
      </w:tr>
      <w:tr w:rsidR="00AC744D" w:rsidRPr="00AC744D" w14:paraId="47F216B8" w14:textId="77777777" w:rsidTr="00AC744D">
        <w:trPr>
          <w:trHeight w:val="570"/>
        </w:trPr>
        <w:tc>
          <w:tcPr>
            <w:tcW w:w="3220" w:type="dxa"/>
            <w:hideMark/>
          </w:tcPr>
          <w:p w14:paraId="4C23147E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Высота подъёма под замками спредера</w:t>
            </w:r>
          </w:p>
        </w:tc>
        <w:tc>
          <w:tcPr>
            <w:tcW w:w="8700" w:type="dxa"/>
            <w:hideMark/>
          </w:tcPr>
          <w:p w14:paraId="78D6150A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не менее 15100 мм</w:t>
            </w:r>
          </w:p>
        </w:tc>
      </w:tr>
      <w:tr w:rsidR="00AC744D" w:rsidRPr="00057DDD" w14:paraId="42B2C468" w14:textId="77777777" w:rsidTr="00AC744D">
        <w:trPr>
          <w:trHeight w:val="1140"/>
        </w:trPr>
        <w:tc>
          <w:tcPr>
            <w:tcW w:w="3220" w:type="dxa"/>
            <w:hideMark/>
          </w:tcPr>
          <w:p w14:paraId="2D5E74E0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Рама</w:t>
            </w:r>
          </w:p>
        </w:tc>
        <w:tc>
          <w:tcPr>
            <w:tcW w:w="8700" w:type="dxa"/>
            <w:hideMark/>
          </w:tcPr>
          <w:p w14:paraId="1BB67BA9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разработка для сложных климатических условий эксплуатации: - 40 до +40 °</w:t>
            </w:r>
            <w:r w:rsidRPr="00AC744D">
              <w:rPr>
                <w:rFonts w:ascii="Verdana" w:hAnsi="Verdana"/>
              </w:rPr>
              <w:t>C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 xml:space="preserve">стандарт стали по раме - </w:t>
            </w:r>
            <w:r w:rsidRPr="00AC744D">
              <w:rPr>
                <w:rFonts w:ascii="Verdana" w:hAnsi="Verdana"/>
              </w:rPr>
              <w:t>DIN</w:t>
            </w:r>
            <w:r w:rsidRPr="00AC744D">
              <w:rPr>
                <w:rFonts w:ascii="Verdana" w:hAnsi="Verdana"/>
                <w:lang w:val="ru-RU"/>
              </w:rPr>
              <w:t xml:space="preserve"> </w:t>
            </w:r>
            <w:r w:rsidRPr="00AC744D">
              <w:rPr>
                <w:rFonts w:ascii="Verdana" w:hAnsi="Verdana"/>
              </w:rPr>
              <w:t>EN</w:t>
            </w:r>
            <w:r w:rsidRPr="00AC744D">
              <w:rPr>
                <w:rFonts w:ascii="Verdana" w:hAnsi="Verdana"/>
                <w:lang w:val="ru-RU"/>
              </w:rPr>
              <w:t xml:space="preserve"> 10025 </w:t>
            </w:r>
            <w:r w:rsidRPr="00AC744D">
              <w:rPr>
                <w:rFonts w:ascii="Verdana" w:hAnsi="Verdana"/>
              </w:rPr>
              <w:t>S</w:t>
            </w:r>
            <w:r w:rsidRPr="00AC744D">
              <w:rPr>
                <w:rFonts w:ascii="Verdana" w:hAnsi="Verdana"/>
                <w:lang w:val="ru-RU"/>
              </w:rPr>
              <w:t>355</w:t>
            </w:r>
            <w:r w:rsidRPr="00AC744D">
              <w:rPr>
                <w:rFonts w:ascii="Verdana" w:hAnsi="Verdana"/>
              </w:rPr>
              <w:t>JR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 xml:space="preserve">стандарт стали по стреле (фиксированная часть) — </w:t>
            </w:r>
            <w:r w:rsidRPr="00AC744D">
              <w:rPr>
                <w:rFonts w:ascii="Verdana" w:hAnsi="Verdana"/>
              </w:rPr>
              <w:t>SQ</w:t>
            </w:r>
            <w:r w:rsidRPr="00AC744D">
              <w:rPr>
                <w:rFonts w:ascii="Verdana" w:hAnsi="Verdana"/>
                <w:lang w:val="ru-RU"/>
              </w:rPr>
              <w:t>690</w:t>
            </w:r>
            <w:r w:rsidRPr="00AC744D">
              <w:rPr>
                <w:rFonts w:ascii="Verdana" w:hAnsi="Verdana"/>
              </w:rPr>
              <w:t>QL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 xml:space="preserve">стандарт стали по стреле (выдвижная часть) — </w:t>
            </w:r>
            <w:r w:rsidRPr="00AC744D">
              <w:rPr>
                <w:rFonts w:ascii="Verdana" w:hAnsi="Verdana"/>
              </w:rPr>
              <w:t>SQ</w:t>
            </w:r>
            <w:r w:rsidRPr="00AC744D">
              <w:rPr>
                <w:rFonts w:ascii="Verdana" w:hAnsi="Verdana"/>
                <w:lang w:val="ru-RU"/>
              </w:rPr>
              <w:t>890</w:t>
            </w:r>
            <w:r w:rsidRPr="00AC744D">
              <w:rPr>
                <w:rFonts w:ascii="Verdana" w:hAnsi="Verdana"/>
              </w:rPr>
              <w:t>QL</w:t>
            </w:r>
          </w:p>
        </w:tc>
      </w:tr>
      <w:tr w:rsidR="00AC744D" w:rsidRPr="00057DDD" w14:paraId="1C62C84B" w14:textId="77777777" w:rsidTr="00AC744D">
        <w:trPr>
          <w:trHeight w:val="1140"/>
        </w:trPr>
        <w:tc>
          <w:tcPr>
            <w:tcW w:w="3220" w:type="dxa"/>
            <w:hideMark/>
          </w:tcPr>
          <w:p w14:paraId="5F25A498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Спредер</w:t>
            </w:r>
          </w:p>
        </w:tc>
        <w:tc>
          <w:tcPr>
            <w:tcW w:w="8700" w:type="dxa"/>
            <w:hideMark/>
          </w:tcPr>
          <w:p w14:paraId="42283AC1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симметричный спредер, гидравлическое раздвижение лап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 xml:space="preserve">телескопический для 20-40-футовых </w:t>
            </w:r>
            <w:r w:rsidRPr="00AC744D">
              <w:rPr>
                <w:rFonts w:ascii="Verdana" w:hAnsi="Verdana"/>
              </w:rPr>
              <w:t>ISO</w:t>
            </w:r>
            <w:r w:rsidRPr="00AC744D">
              <w:rPr>
                <w:rFonts w:ascii="Verdana" w:hAnsi="Verdana"/>
                <w:lang w:val="ru-RU"/>
              </w:rPr>
              <w:t xml:space="preserve"> контейнеров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интегрированное боковое смещение +/- 800 мм</w:t>
            </w:r>
            <w:r w:rsidRPr="00AC744D">
              <w:rPr>
                <w:rFonts w:ascii="Verdana" w:hAnsi="Verdana"/>
                <w:lang w:val="ru-RU"/>
              </w:rPr>
              <w:br/>
              <w:t>- поворот -105°/+195°</w:t>
            </w:r>
          </w:p>
        </w:tc>
      </w:tr>
      <w:tr w:rsidR="00AC744D" w:rsidRPr="00057DDD" w14:paraId="59A098FD" w14:textId="77777777" w:rsidTr="00AC744D">
        <w:trPr>
          <w:trHeight w:val="855"/>
        </w:trPr>
        <w:tc>
          <w:tcPr>
            <w:tcW w:w="3220" w:type="dxa"/>
            <w:hideMark/>
          </w:tcPr>
          <w:p w14:paraId="14AAB858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Рабочая тормозная система</w:t>
            </w:r>
          </w:p>
        </w:tc>
        <w:tc>
          <w:tcPr>
            <w:tcW w:w="8700" w:type="dxa"/>
            <w:hideMark/>
          </w:tcPr>
          <w:p w14:paraId="746ECC4D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Маслозаполненные необслуживаемые дисковые тормоза на переднем мосту с охлаждающей системой, с автоматической настройкой, замена тормозных дисков без демонтажа моста</w:t>
            </w:r>
          </w:p>
        </w:tc>
      </w:tr>
      <w:tr w:rsidR="00AC744D" w:rsidRPr="00057DDD" w14:paraId="5509E8AF" w14:textId="77777777" w:rsidTr="00AC744D">
        <w:trPr>
          <w:trHeight w:val="855"/>
        </w:trPr>
        <w:tc>
          <w:tcPr>
            <w:tcW w:w="3220" w:type="dxa"/>
            <w:hideMark/>
          </w:tcPr>
          <w:p w14:paraId="0119F4DC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Стояночная тормозная система</w:t>
            </w:r>
          </w:p>
        </w:tc>
        <w:tc>
          <w:tcPr>
            <w:tcW w:w="8700" w:type="dxa"/>
            <w:hideMark/>
          </w:tcPr>
          <w:p w14:paraId="5BD35252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электрогидравлическая сухого дискового типа на трансмиссии, с вакуумным усилителем, приводимая в действие кнопочным включателем на приборной панели</w:t>
            </w:r>
          </w:p>
        </w:tc>
      </w:tr>
      <w:tr w:rsidR="00AC744D" w:rsidRPr="00057DDD" w14:paraId="372043A2" w14:textId="77777777" w:rsidTr="00AC744D">
        <w:trPr>
          <w:trHeight w:val="4560"/>
        </w:trPr>
        <w:tc>
          <w:tcPr>
            <w:tcW w:w="3220" w:type="dxa"/>
            <w:hideMark/>
          </w:tcPr>
          <w:p w14:paraId="78305F28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lastRenderedPageBreak/>
              <w:t>Кабина оператора</w:t>
            </w:r>
          </w:p>
        </w:tc>
        <w:tc>
          <w:tcPr>
            <w:tcW w:w="8700" w:type="dxa"/>
            <w:hideMark/>
          </w:tcPr>
          <w:p w14:paraId="72BF7CB6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 xml:space="preserve">в соответствии с </w:t>
            </w:r>
            <w:r w:rsidRPr="00AC744D">
              <w:rPr>
                <w:rFonts w:ascii="Verdana" w:hAnsi="Verdana"/>
              </w:rPr>
              <w:t>ISO</w:t>
            </w:r>
            <w:r w:rsidRPr="00AC744D">
              <w:rPr>
                <w:rFonts w:ascii="Verdana" w:hAnsi="Verdana"/>
                <w:lang w:val="ru-RU"/>
              </w:rPr>
              <w:t xml:space="preserve"> 6055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Дисплей жидкокристаллический (цветной), многофункциональный, руссифицированный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полное остекление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стеклоочистители на переднем, заднем и верхнем окнах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омыватели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запирающиеся на ключ двери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противосолнечный экран на верхнем окне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индикация выбора передачи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система обогрева и вентиляции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регулируемые сиденье и рулевое колесо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многофункциональный джойстик для управления стрелой и спредером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звуковой сигнал</w:t>
            </w:r>
            <w:r w:rsidRPr="00AC744D">
              <w:rPr>
                <w:rFonts w:ascii="Verdana" w:hAnsi="Verdana"/>
                <w:lang w:val="ru-RU"/>
              </w:rPr>
              <w:br/>
              <w:t>- механизмы запирания спредера со световой индикацией и режимом дублирования на компьютере в кабине водителя, что замки закрыты и дальнейшие операции безопасны</w:t>
            </w:r>
          </w:p>
        </w:tc>
      </w:tr>
      <w:tr w:rsidR="00AC744D" w:rsidRPr="00057DDD" w14:paraId="438DE980" w14:textId="77777777" w:rsidTr="00AC744D">
        <w:trPr>
          <w:trHeight w:val="2850"/>
        </w:trPr>
        <w:tc>
          <w:tcPr>
            <w:tcW w:w="3220" w:type="dxa"/>
            <w:hideMark/>
          </w:tcPr>
          <w:p w14:paraId="6BCF7EE2" w14:textId="736D137C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Свето-</w:t>
            </w:r>
            <w:r w:rsidRPr="00AC744D">
              <w:rPr>
                <w:rFonts w:ascii="Verdana" w:hAnsi="Verdana"/>
                <w:lang w:val="ru-RU"/>
              </w:rPr>
              <w:t>сигнальное оборудование и освещение</w:t>
            </w:r>
          </w:p>
        </w:tc>
        <w:tc>
          <w:tcPr>
            <w:tcW w:w="8700" w:type="dxa"/>
            <w:hideMark/>
          </w:tcPr>
          <w:p w14:paraId="1243868F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 xml:space="preserve">4 передние </w:t>
            </w:r>
            <w:r w:rsidRPr="00AC744D">
              <w:rPr>
                <w:rFonts w:ascii="Verdana" w:hAnsi="Verdana"/>
              </w:rPr>
              <w:t>LED</w:t>
            </w:r>
            <w:r w:rsidRPr="00AC744D">
              <w:rPr>
                <w:rFonts w:ascii="Verdana" w:hAnsi="Verdana"/>
                <w:lang w:val="ru-RU"/>
              </w:rPr>
              <w:t xml:space="preserve"> фары с каждой стороны рамы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 xml:space="preserve">4 задние </w:t>
            </w:r>
            <w:r w:rsidRPr="00AC744D">
              <w:rPr>
                <w:rFonts w:ascii="Verdana" w:hAnsi="Verdana"/>
              </w:rPr>
              <w:t>LED</w:t>
            </w:r>
            <w:r w:rsidRPr="00AC744D">
              <w:rPr>
                <w:rFonts w:ascii="Verdana" w:hAnsi="Verdana"/>
                <w:lang w:val="ru-RU"/>
              </w:rPr>
              <w:t xml:space="preserve"> фары на раме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 xml:space="preserve">4 передние </w:t>
            </w:r>
            <w:r w:rsidRPr="00AC744D">
              <w:rPr>
                <w:rFonts w:ascii="Verdana" w:hAnsi="Verdana"/>
              </w:rPr>
              <w:t>LED</w:t>
            </w:r>
            <w:r w:rsidRPr="00AC744D">
              <w:rPr>
                <w:rFonts w:ascii="Verdana" w:hAnsi="Verdana"/>
                <w:lang w:val="ru-RU"/>
              </w:rPr>
              <w:t xml:space="preserve"> фары на стреле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 xml:space="preserve">2 передние </w:t>
            </w:r>
            <w:r w:rsidRPr="00AC744D">
              <w:rPr>
                <w:rFonts w:ascii="Verdana" w:hAnsi="Verdana"/>
              </w:rPr>
              <w:t>LED</w:t>
            </w:r>
            <w:r w:rsidRPr="00AC744D">
              <w:rPr>
                <w:rFonts w:ascii="Verdana" w:hAnsi="Verdana"/>
                <w:lang w:val="ru-RU"/>
              </w:rPr>
              <w:t xml:space="preserve"> фары на спредере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стоп-сигналы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указатели поворота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габаритные и ходовые огни</w:t>
            </w:r>
            <w:r w:rsidRPr="00AC744D">
              <w:rPr>
                <w:rFonts w:ascii="Verdana" w:hAnsi="Verdana"/>
                <w:lang w:val="ru-RU"/>
              </w:rPr>
              <w:br/>
              <w:t>- огни при движении задним ходом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зуммер заднего хода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проблесковый маячок</w:t>
            </w:r>
          </w:p>
        </w:tc>
      </w:tr>
      <w:tr w:rsidR="00AC744D" w:rsidRPr="00057DDD" w14:paraId="0093774C" w14:textId="77777777" w:rsidTr="00AC744D">
        <w:trPr>
          <w:trHeight w:val="1710"/>
        </w:trPr>
        <w:tc>
          <w:tcPr>
            <w:tcW w:w="3220" w:type="dxa"/>
            <w:hideMark/>
          </w:tcPr>
          <w:p w14:paraId="3643AD44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Техническая документация</w:t>
            </w:r>
          </w:p>
        </w:tc>
        <w:tc>
          <w:tcPr>
            <w:tcW w:w="8700" w:type="dxa"/>
            <w:hideMark/>
          </w:tcPr>
          <w:p w14:paraId="5D5AD468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- На русском языке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руководство по эксплуатации, безопасности и обслуживанию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гидравлические и электрические схемы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выписка из электронного паспорта самоходной машины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каталог запасных частей Схематичные изображения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диаграмма нагрузок</w:t>
            </w:r>
          </w:p>
        </w:tc>
      </w:tr>
      <w:tr w:rsidR="00AC744D" w:rsidRPr="00057DDD" w14:paraId="6D0B1B24" w14:textId="77777777" w:rsidTr="00AC744D">
        <w:trPr>
          <w:trHeight w:val="855"/>
        </w:trPr>
        <w:tc>
          <w:tcPr>
            <w:tcW w:w="3220" w:type="dxa"/>
            <w:hideMark/>
          </w:tcPr>
          <w:p w14:paraId="34544619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</w:rPr>
            </w:pPr>
            <w:r w:rsidRPr="00AC744D">
              <w:rPr>
                <w:rFonts w:ascii="Verdana" w:hAnsi="Verdana"/>
              </w:rPr>
              <w:t>Комплектация</w:t>
            </w:r>
          </w:p>
        </w:tc>
        <w:tc>
          <w:tcPr>
            <w:tcW w:w="8700" w:type="dxa"/>
            <w:hideMark/>
          </w:tcPr>
          <w:p w14:paraId="2011FC5C" w14:textId="77777777" w:rsidR="00AC744D" w:rsidRPr="00AC744D" w:rsidRDefault="00AC744D" w:rsidP="00AC744D">
            <w:pPr>
              <w:spacing w:after="0" w:line="240" w:lineRule="auto"/>
              <w:ind w:left="0"/>
              <w:rPr>
                <w:rFonts w:ascii="Verdana" w:hAnsi="Verdana"/>
                <w:lang w:val="ru-RU"/>
              </w:rPr>
            </w:pPr>
            <w:r w:rsidRPr="00AC744D">
              <w:rPr>
                <w:rFonts w:ascii="Verdana" w:hAnsi="Verdana"/>
                <w:lang w:val="ru-RU"/>
              </w:rPr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зимний пакет (предпусковой стояночный подогрев от внешней сети 220В)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автоматическая система пожаротушения подкапотного пространства</w:t>
            </w:r>
            <w:r w:rsidRPr="00AC744D">
              <w:rPr>
                <w:rFonts w:ascii="Verdana" w:hAnsi="Verdana"/>
                <w:lang w:val="ru-RU"/>
              </w:rPr>
              <w:br/>
              <w:t>-</w:t>
            </w:r>
            <w:r w:rsidRPr="00AC744D">
              <w:rPr>
                <w:rFonts w:ascii="Verdana" w:hAnsi="Verdana"/>
              </w:rPr>
              <w:t> </w:t>
            </w:r>
            <w:r w:rsidRPr="00AC744D">
              <w:rPr>
                <w:rFonts w:ascii="Verdana" w:hAnsi="Verdana"/>
                <w:lang w:val="ru-RU"/>
              </w:rPr>
              <w:t>зеркала бокового обзора на периллах лестниц с обеих сторон</w:t>
            </w:r>
          </w:p>
        </w:tc>
      </w:tr>
    </w:tbl>
    <w:p w14:paraId="1C1F8EAA" w14:textId="77777777" w:rsidR="003C78EB" w:rsidRPr="00B63EC3" w:rsidRDefault="003C78EB" w:rsidP="005B3763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</w:p>
    <w:p w14:paraId="391A7C78" w14:textId="130F149A" w:rsidR="005525DF" w:rsidRPr="005525DF" w:rsidRDefault="005525DF" w:rsidP="00AC744D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  <w:r w:rsidRPr="005525DF">
        <w:rPr>
          <w:rFonts w:ascii="Verdana" w:hAnsi="Verdana"/>
          <w:lang w:val="ru-RU"/>
        </w:rPr>
        <w:t xml:space="preserve">Все </w:t>
      </w:r>
      <w:r w:rsidR="00AC744D">
        <w:rPr>
          <w:rFonts w:ascii="Verdana" w:hAnsi="Verdana"/>
          <w:lang w:val="ru-RU"/>
        </w:rPr>
        <w:t>отклонения от запрошенных параметров</w:t>
      </w:r>
      <w:r w:rsidRPr="005525DF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Контрагент</w:t>
      </w:r>
      <w:r w:rsidRPr="005525DF">
        <w:rPr>
          <w:rFonts w:ascii="Verdana" w:hAnsi="Verdana"/>
          <w:lang w:val="ru-RU"/>
        </w:rPr>
        <w:t xml:space="preserve"> </w:t>
      </w:r>
      <w:r w:rsidR="00AC744D">
        <w:rPr>
          <w:rFonts w:ascii="Verdana" w:hAnsi="Verdana"/>
          <w:lang w:val="ru-RU"/>
        </w:rPr>
        <w:t>согласовывает с</w:t>
      </w:r>
      <w:r w:rsidRPr="005525DF">
        <w:rPr>
          <w:rFonts w:ascii="Verdana" w:hAnsi="Verdana"/>
          <w:lang w:val="ru-RU"/>
        </w:rPr>
        <w:t xml:space="preserve"> </w:t>
      </w:r>
      <w:r w:rsidR="00A9748C">
        <w:rPr>
          <w:rFonts w:ascii="Verdana" w:hAnsi="Verdana"/>
          <w:lang w:val="ru-RU"/>
        </w:rPr>
        <w:t>АГ</w:t>
      </w:r>
      <w:r w:rsidR="00AC744D">
        <w:rPr>
          <w:rFonts w:ascii="Verdana" w:hAnsi="Verdana"/>
          <w:lang w:val="ru-RU"/>
        </w:rPr>
        <w:t>К.</w:t>
      </w:r>
      <w:r w:rsidRPr="005525DF">
        <w:rPr>
          <w:rFonts w:ascii="Verdana" w:hAnsi="Verdana"/>
          <w:lang w:val="ru-RU"/>
        </w:rPr>
        <w:t xml:space="preserve"> </w:t>
      </w:r>
    </w:p>
    <w:p w14:paraId="05E654BC" w14:textId="77777777" w:rsidR="005525DF" w:rsidRPr="005525DF" w:rsidRDefault="005525DF" w:rsidP="005525DF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</w:p>
    <w:p w14:paraId="18E8149A" w14:textId="77777777" w:rsidR="004179B5" w:rsidRDefault="004179B5" w:rsidP="004179B5">
      <w:pPr>
        <w:spacing w:after="0" w:line="240" w:lineRule="auto"/>
        <w:ind w:left="708"/>
        <w:jc w:val="both"/>
        <w:rPr>
          <w:rFonts w:ascii="Verdana" w:hAnsi="Verdana"/>
          <w:lang w:val="ru-RU"/>
        </w:rPr>
      </w:pPr>
    </w:p>
    <w:p w14:paraId="4D54610F" w14:textId="04EFDC96" w:rsidR="004179B5" w:rsidRPr="004179B5" w:rsidRDefault="004179B5" w:rsidP="00B30DF1">
      <w:pPr>
        <w:pStyle w:val="aa"/>
        <w:numPr>
          <w:ilvl w:val="1"/>
          <w:numId w:val="18"/>
        </w:numPr>
        <w:spacing w:after="0" w:line="240" w:lineRule="auto"/>
        <w:ind w:left="1276" w:hanging="567"/>
        <w:jc w:val="both"/>
        <w:rPr>
          <w:rFonts w:ascii="Verdana" w:hAnsi="Verdana"/>
          <w:b/>
          <w:bCs/>
          <w:lang w:val="ru-RU"/>
        </w:rPr>
      </w:pPr>
      <w:r w:rsidRPr="004179B5">
        <w:rPr>
          <w:rFonts w:ascii="Verdana" w:hAnsi="Verdana"/>
          <w:b/>
          <w:bCs/>
          <w:lang w:val="ru-RU"/>
        </w:rPr>
        <w:lastRenderedPageBreak/>
        <w:t>Структура коммерческого предложения (КП)</w:t>
      </w:r>
    </w:p>
    <w:p w14:paraId="26B7A1E4" w14:textId="553283F1" w:rsidR="00CB1B43" w:rsidRDefault="006537B0" w:rsidP="004179B5">
      <w:pPr>
        <w:spacing w:after="0" w:line="240" w:lineRule="auto"/>
        <w:ind w:left="708" w:firstLine="36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  <w:r w:rsidR="00CB1B43" w:rsidRPr="00514D77">
        <w:rPr>
          <w:rFonts w:ascii="Verdana" w:hAnsi="Verdana"/>
          <w:lang w:val="ru-RU"/>
        </w:rPr>
        <w:t>Предложение должно быть структурировано с описанием оказания всего объема товаров</w:t>
      </w:r>
      <w:r w:rsidR="005E4A4C">
        <w:rPr>
          <w:rFonts w:ascii="Verdana" w:hAnsi="Verdana"/>
          <w:lang w:val="ru-RU"/>
        </w:rPr>
        <w:t xml:space="preserve"> и услуг</w:t>
      </w:r>
      <w:r w:rsidR="00CB1B43" w:rsidRPr="00514D77">
        <w:rPr>
          <w:rFonts w:ascii="Verdana" w:hAnsi="Verdana"/>
          <w:lang w:val="ru-RU"/>
        </w:rPr>
        <w:t>. Предложение должно включать</w:t>
      </w:r>
      <w:r w:rsidR="00CB1B43">
        <w:rPr>
          <w:rFonts w:ascii="Verdana" w:hAnsi="Verdana"/>
          <w:lang w:val="ru-RU"/>
        </w:rPr>
        <w:t xml:space="preserve"> </w:t>
      </w:r>
      <w:r w:rsidR="00CB1B43" w:rsidRPr="00514D77">
        <w:rPr>
          <w:rFonts w:ascii="Verdana" w:hAnsi="Verdana"/>
          <w:lang w:val="ru-RU"/>
        </w:rPr>
        <w:t>цену с учётом всех требований, указанных в ТЗ.</w:t>
      </w:r>
    </w:p>
    <w:p w14:paraId="6DCA63C5" w14:textId="60B3521F" w:rsidR="00CB1B43" w:rsidRDefault="00057DDD" w:rsidP="00057DDD">
      <w:pPr>
        <w:spacing w:after="0" w:line="240" w:lineRule="auto"/>
        <w:ind w:left="708" w:firstLine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При покупке АГР погрузчика у</w:t>
      </w:r>
      <w:r w:rsidR="00CB1B43">
        <w:rPr>
          <w:rFonts w:ascii="Verdana" w:hAnsi="Verdana"/>
          <w:lang w:val="ru-RU"/>
        </w:rPr>
        <w:t xml:space="preserve">слуги по доставке </w:t>
      </w:r>
      <w:r w:rsidR="00AC744D">
        <w:rPr>
          <w:rFonts w:ascii="Verdana" w:hAnsi="Verdana"/>
          <w:lang w:val="ru-RU"/>
        </w:rPr>
        <w:t>и сборке погрузчика</w:t>
      </w:r>
      <w:r w:rsidR="00CB1B43">
        <w:rPr>
          <w:rFonts w:ascii="Verdana" w:hAnsi="Verdana"/>
          <w:lang w:val="ru-RU"/>
        </w:rPr>
        <w:t xml:space="preserve">, необходимо включить в стоимость </w:t>
      </w:r>
      <w:r w:rsidR="00AC744D">
        <w:rPr>
          <w:rFonts w:ascii="Verdana" w:hAnsi="Verdana"/>
          <w:lang w:val="ru-RU"/>
        </w:rPr>
        <w:t>погрузчика</w:t>
      </w:r>
      <w:r w:rsidR="00CB1B43">
        <w:rPr>
          <w:rFonts w:ascii="Verdana" w:hAnsi="Verdana"/>
          <w:lang w:val="ru-RU"/>
        </w:rPr>
        <w:t>.</w:t>
      </w:r>
      <w:r w:rsidR="00AC744D">
        <w:rPr>
          <w:rFonts w:ascii="Verdana" w:hAnsi="Verdana"/>
          <w:lang w:val="ru-RU"/>
        </w:rPr>
        <w:t xml:space="preserve"> </w:t>
      </w:r>
      <w:r w:rsidR="00AC744D" w:rsidRPr="00AC744D">
        <w:rPr>
          <w:rFonts w:ascii="Verdana" w:hAnsi="Verdana"/>
          <w:lang w:val="ru-RU"/>
        </w:rPr>
        <w:t>Стоимость аренды техники необходимой для выгрузки и сборки погрузчика в стоимость погрузчика не включать</w:t>
      </w:r>
      <w:r w:rsidR="00AC744D">
        <w:rPr>
          <w:rFonts w:ascii="Verdana" w:hAnsi="Verdana"/>
          <w:lang w:val="ru-RU"/>
        </w:rPr>
        <w:t xml:space="preserve"> и выделить отдельным пунктом с разбивкой по каждому виду техники.</w:t>
      </w:r>
    </w:p>
    <w:p w14:paraId="5A625517" w14:textId="2DCEC3EA" w:rsidR="00057DDD" w:rsidRDefault="00057DDD" w:rsidP="00E40566">
      <w:pPr>
        <w:spacing w:after="0" w:line="240" w:lineRule="auto"/>
        <w:ind w:left="708" w:firstLine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При </w:t>
      </w:r>
      <w:r>
        <w:rPr>
          <w:rFonts w:ascii="Verdana" w:hAnsi="Verdana"/>
          <w:lang w:val="ru-RU"/>
        </w:rPr>
        <w:t>аренде</w:t>
      </w:r>
      <w:r>
        <w:rPr>
          <w:rFonts w:ascii="Verdana" w:hAnsi="Verdana"/>
          <w:lang w:val="ru-RU"/>
        </w:rPr>
        <w:t xml:space="preserve"> АГР погрузчика услуги по доставке и сборке</w:t>
      </w:r>
      <w:r>
        <w:rPr>
          <w:rFonts w:ascii="Verdana" w:hAnsi="Verdana"/>
          <w:lang w:val="ru-RU"/>
        </w:rPr>
        <w:t xml:space="preserve"> (а также по последующей разборке и вывозу)</w:t>
      </w:r>
      <w:r>
        <w:rPr>
          <w:rFonts w:ascii="Verdana" w:hAnsi="Verdana"/>
          <w:lang w:val="ru-RU"/>
        </w:rPr>
        <w:t xml:space="preserve"> погрузчика, необходимо </w:t>
      </w:r>
      <w:r>
        <w:rPr>
          <w:rFonts w:ascii="Verdana" w:hAnsi="Verdana"/>
          <w:lang w:val="ru-RU"/>
        </w:rPr>
        <w:t>выделить отдельной строкой</w:t>
      </w:r>
      <w:r>
        <w:rPr>
          <w:rFonts w:ascii="Verdana" w:hAnsi="Verdana"/>
          <w:lang w:val="ru-RU"/>
        </w:rPr>
        <w:t xml:space="preserve">. </w:t>
      </w:r>
      <w:r w:rsidRPr="00AC744D">
        <w:rPr>
          <w:rFonts w:ascii="Verdana" w:hAnsi="Verdana"/>
          <w:lang w:val="ru-RU"/>
        </w:rPr>
        <w:t>Стоимость аренды техники необходимой для выгрузки</w:t>
      </w:r>
      <w:r>
        <w:rPr>
          <w:rFonts w:ascii="Verdana" w:hAnsi="Verdana"/>
          <w:lang w:val="ru-RU"/>
        </w:rPr>
        <w:t>/загрузки</w:t>
      </w:r>
      <w:r w:rsidRPr="00AC744D">
        <w:rPr>
          <w:rFonts w:ascii="Verdana" w:hAnsi="Verdana"/>
          <w:lang w:val="ru-RU"/>
        </w:rPr>
        <w:t xml:space="preserve"> и сборки</w:t>
      </w:r>
      <w:r>
        <w:rPr>
          <w:rFonts w:ascii="Verdana" w:hAnsi="Verdana"/>
          <w:lang w:val="ru-RU"/>
        </w:rPr>
        <w:t>/разборки</w:t>
      </w:r>
      <w:r w:rsidRPr="00AC744D">
        <w:rPr>
          <w:rFonts w:ascii="Verdana" w:hAnsi="Verdana"/>
          <w:lang w:val="ru-RU"/>
        </w:rPr>
        <w:t xml:space="preserve"> погрузчика в стоимость </w:t>
      </w:r>
      <w:r>
        <w:rPr>
          <w:rFonts w:ascii="Verdana" w:hAnsi="Verdana"/>
          <w:lang w:val="ru-RU"/>
        </w:rPr>
        <w:t>аренды</w:t>
      </w:r>
      <w:r w:rsidRPr="00AC744D">
        <w:rPr>
          <w:rFonts w:ascii="Verdana" w:hAnsi="Verdana"/>
          <w:lang w:val="ru-RU"/>
        </w:rPr>
        <w:t xml:space="preserve"> не включать</w:t>
      </w:r>
      <w:r>
        <w:rPr>
          <w:rFonts w:ascii="Verdana" w:hAnsi="Verdana"/>
          <w:lang w:val="ru-RU"/>
        </w:rPr>
        <w:t xml:space="preserve"> и выделить отдельным пунктом с разбивкой по каждому виду техники.</w:t>
      </w:r>
      <w:r w:rsidR="00DA3A1D">
        <w:rPr>
          <w:rFonts w:ascii="Verdana" w:hAnsi="Verdana"/>
          <w:lang w:val="ru-RU"/>
        </w:rPr>
        <w:t xml:space="preserve"> </w:t>
      </w:r>
      <w:r w:rsidR="00E40566">
        <w:rPr>
          <w:rFonts w:ascii="Verdana" w:hAnsi="Verdana"/>
          <w:lang w:val="ru-RU"/>
        </w:rPr>
        <w:t xml:space="preserve">Техническое обслуживание и ремонт погрусчика Контрагент проводит силами своего персонала и с использованием своего оборудования. </w:t>
      </w:r>
      <w:r w:rsidR="00DA3A1D">
        <w:rPr>
          <w:rFonts w:ascii="Verdana" w:hAnsi="Verdana"/>
          <w:lang w:val="ru-RU"/>
        </w:rPr>
        <w:t>Стоимость технического обслуживания</w:t>
      </w:r>
      <w:r w:rsidR="00E40566">
        <w:rPr>
          <w:rFonts w:ascii="Verdana" w:hAnsi="Verdana"/>
          <w:lang w:val="ru-RU"/>
        </w:rPr>
        <w:t>, ремонта, запчастей</w:t>
      </w:r>
      <w:bookmarkStart w:id="42" w:name="_GoBack"/>
      <w:bookmarkEnd w:id="42"/>
      <w:r w:rsidR="00DA3A1D">
        <w:rPr>
          <w:rFonts w:ascii="Verdana" w:hAnsi="Verdana"/>
          <w:lang w:val="ru-RU"/>
        </w:rPr>
        <w:t xml:space="preserve"> и расходных материалов должна быть включена в арендную ставку из рассчета среднемесячной наработки техникой </w:t>
      </w:r>
      <w:r w:rsidR="00E40566" w:rsidRPr="00E40566">
        <w:rPr>
          <w:rFonts w:ascii="Verdana" w:hAnsi="Verdana"/>
          <w:lang w:val="ru-RU"/>
        </w:rPr>
        <w:t>4</w:t>
      </w:r>
      <w:r w:rsidR="00DA3A1D">
        <w:rPr>
          <w:rFonts w:ascii="Verdana" w:hAnsi="Verdana"/>
          <w:lang w:val="ru-RU"/>
        </w:rPr>
        <w:t>50 моточасов.</w:t>
      </w:r>
    </w:p>
    <w:p w14:paraId="08626266" w14:textId="77777777" w:rsidR="00CB1B43" w:rsidRPr="00514D77" w:rsidRDefault="00CB1B43" w:rsidP="00CB1B43">
      <w:pPr>
        <w:spacing w:after="0" w:line="240" w:lineRule="auto"/>
        <w:ind w:left="708" w:firstLine="708"/>
        <w:contextualSpacing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Контрагент</w:t>
      </w:r>
      <w:r w:rsidRPr="00514D77">
        <w:rPr>
          <w:rFonts w:ascii="Verdana" w:hAnsi="Verdana"/>
          <w:lang w:val="ru-RU"/>
        </w:rPr>
        <w:t xml:space="preserve"> тщательно изучает переданное ему ТЗ. Отсутствие примечаний со стороны Контрагент</w:t>
      </w:r>
      <w:r w:rsidRPr="0082563E">
        <w:rPr>
          <w:rFonts w:ascii="Verdana" w:hAnsi="Verdana"/>
        </w:rPr>
        <w:t>a</w:t>
      </w:r>
      <w:r w:rsidRPr="00514D77">
        <w:rPr>
          <w:rFonts w:ascii="Verdana" w:hAnsi="Verdana"/>
          <w:lang w:val="ru-RU"/>
        </w:rPr>
        <w:t xml:space="preserve"> является подтверждением с его стороны, что полученное им ТЗ достаточно для подготовки КП.</w:t>
      </w:r>
    </w:p>
    <w:p w14:paraId="416590D6" w14:textId="77777777" w:rsidR="00CB1B43" w:rsidRPr="00514D77" w:rsidRDefault="00CB1B43" w:rsidP="00CB1B43">
      <w:pPr>
        <w:spacing w:after="0" w:line="240" w:lineRule="auto"/>
        <w:ind w:firstLine="708"/>
        <w:contextualSpacing/>
        <w:jc w:val="both"/>
        <w:rPr>
          <w:rFonts w:ascii="Verdana" w:hAnsi="Verdana"/>
          <w:lang w:val="ru-RU"/>
        </w:rPr>
      </w:pPr>
      <w:r w:rsidRPr="008602A6">
        <w:rPr>
          <w:rFonts w:ascii="Verdana" w:hAnsi="Verdana"/>
          <w:u w:val="single"/>
          <w:lang w:val="ru-RU"/>
        </w:rPr>
        <w:t>Все цены предоставляются без НДС</w:t>
      </w:r>
      <w:r w:rsidRPr="00514D77">
        <w:rPr>
          <w:rFonts w:ascii="Verdana" w:hAnsi="Verdana"/>
          <w:lang w:val="ru-RU"/>
        </w:rPr>
        <w:t>.</w:t>
      </w:r>
    </w:p>
    <w:p w14:paraId="70723AE7" w14:textId="38ECA752" w:rsidR="00CB1B43" w:rsidRPr="00514D77" w:rsidRDefault="00CB1B43" w:rsidP="00CB1B43">
      <w:pPr>
        <w:spacing w:after="0" w:line="240" w:lineRule="auto"/>
        <w:ind w:left="708" w:firstLine="708"/>
        <w:contextualSpacing/>
        <w:jc w:val="both"/>
        <w:rPr>
          <w:rFonts w:ascii="Verdana" w:hAnsi="Verdana"/>
          <w:lang w:val="ru-RU"/>
        </w:rPr>
      </w:pPr>
      <w:r w:rsidRPr="00514D77">
        <w:rPr>
          <w:rFonts w:ascii="Verdana" w:hAnsi="Verdana"/>
          <w:lang w:val="ru-RU"/>
        </w:rPr>
        <w:t>Цены на каждый тип товаров</w:t>
      </w:r>
      <w:r w:rsidR="00DD2697">
        <w:rPr>
          <w:rFonts w:ascii="Verdana" w:hAnsi="Verdana"/>
          <w:lang w:val="ru-RU"/>
        </w:rPr>
        <w:t xml:space="preserve"> и услуг</w:t>
      </w:r>
      <w:r w:rsidRPr="00514D77">
        <w:rPr>
          <w:rFonts w:ascii="Verdana" w:hAnsi="Verdana"/>
          <w:lang w:val="ru-RU"/>
        </w:rPr>
        <w:t xml:space="preserve"> должны быть зафиксированы на весь срок </w:t>
      </w:r>
      <w:r>
        <w:rPr>
          <w:rFonts w:ascii="Verdana" w:hAnsi="Verdana"/>
          <w:lang w:val="ru-RU"/>
        </w:rPr>
        <w:t>действия Договора</w:t>
      </w:r>
      <w:r w:rsidRPr="00514D77">
        <w:rPr>
          <w:rFonts w:ascii="Verdana" w:hAnsi="Verdana"/>
          <w:lang w:val="ru-RU"/>
        </w:rPr>
        <w:t>.</w:t>
      </w:r>
    </w:p>
    <w:p w14:paraId="694AB5F6" w14:textId="5BFE1C26" w:rsidR="00CB1B43" w:rsidRPr="00514D77" w:rsidRDefault="00CB1B43" w:rsidP="006537B0">
      <w:pPr>
        <w:spacing w:after="0" w:line="240" w:lineRule="auto"/>
        <w:ind w:left="708" w:firstLine="708"/>
        <w:contextualSpacing/>
        <w:jc w:val="both"/>
        <w:rPr>
          <w:rFonts w:ascii="Verdana" w:hAnsi="Verdana"/>
          <w:lang w:val="ru-RU"/>
        </w:rPr>
      </w:pPr>
      <w:r w:rsidRPr="00514D77">
        <w:rPr>
          <w:rFonts w:ascii="Verdana" w:hAnsi="Verdana"/>
          <w:lang w:val="ru-RU"/>
        </w:rPr>
        <w:t xml:space="preserve">Контрагент подтверждает, что все затраты </w:t>
      </w:r>
      <w:r>
        <w:rPr>
          <w:rFonts w:ascii="Verdana" w:hAnsi="Verdana"/>
          <w:lang w:val="ru-RU"/>
        </w:rPr>
        <w:t xml:space="preserve">Контрагента, связанные с выполнением Договора и подготовкой КП, </w:t>
      </w:r>
      <w:r w:rsidRPr="00514D77">
        <w:rPr>
          <w:rFonts w:ascii="Verdana" w:hAnsi="Verdana"/>
          <w:lang w:val="ru-RU"/>
        </w:rPr>
        <w:t>включены в КП</w:t>
      </w:r>
      <w:r>
        <w:rPr>
          <w:rFonts w:ascii="Verdana" w:hAnsi="Verdana"/>
          <w:lang w:val="ru-RU"/>
        </w:rPr>
        <w:t xml:space="preserve">, включая доставку </w:t>
      </w:r>
      <w:r w:rsidR="006537B0">
        <w:rPr>
          <w:rFonts w:ascii="Verdana" w:hAnsi="Verdana"/>
          <w:lang w:val="ru-RU"/>
        </w:rPr>
        <w:t>и сборку погрузчика.</w:t>
      </w:r>
      <w:r w:rsidRPr="00514D77">
        <w:rPr>
          <w:rFonts w:ascii="Verdana" w:hAnsi="Verdana"/>
          <w:lang w:val="ru-RU"/>
        </w:rPr>
        <w:t>.</w:t>
      </w:r>
    </w:p>
    <w:p w14:paraId="72339CEB" w14:textId="77777777" w:rsidR="00CB1B43" w:rsidRPr="00514D77" w:rsidRDefault="00CB1B43" w:rsidP="00CB1B43">
      <w:pPr>
        <w:spacing w:after="0" w:line="240" w:lineRule="auto"/>
        <w:ind w:left="708" w:firstLine="708"/>
        <w:contextualSpacing/>
        <w:jc w:val="both"/>
        <w:rPr>
          <w:rFonts w:ascii="Verdana" w:hAnsi="Verdana"/>
          <w:lang w:val="ru-RU"/>
        </w:rPr>
      </w:pPr>
      <w:r w:rsidRPr="00514D77">
        <w:rPr>
          <w:rFonts w:ascii="Verdana" w:hAnsi="Verdana"/>
          <w:lang w:val="ru-RU"/>
        </w:rPr>
        <w:t>Примечания или альтернативные предложения к ТЗ Контрагент передает как дополнение к своему КП.</w:t>
      </w:r>
    </w:p>
    <w:p w14:paraId="4117DB8E" w14:textId="456EAA78" w:rsidR="00CB1B43" w:rsidRDefault="00CB1B43" w:rsidP="006537B0">
      <w:pPr>
        <w:spacing w:after="0" w:line="240" w:lineRule="auto"/>
        <w:ind w:left="708" w:firstLine="708"/>
        <w:contextualSpacing/>
        <w:jc w:val="both"/>
        <w:rPr>
          <w:rFonts w:ascii="Verdana" w:hAnsi="Verdana"/>
          <w:lang w:val="ru-RU"/>
        </w:rPr>
      </w:pPr>
      <w:r w:rsidRPr="00514D77">
        <w:rPr>
          <w:rFonts w:ascii="Verdana" w:hAnsi="Verdana"/>
          <w:lang w:val="ru-RU"/>
        </w:rPr>
        <w:t xml:space="preserve">КП необходимо предоставить в виде заполненной Таблицы </w:t>
      </w:r>
      <w:r w:rsidR="006537B0">
        <w:rPr>
          <w:rFonts w:ascii="Verdana" w:hAnsi="Verdana"/>
          <w:lang w:val="ru-RU"/>
        </w:rPr>
        <w:t>2</w:t>
      </w:r>
      <w:r w:rsidRPr="00514D77">
        <w:rPr>
          <w:rFonts w:ascii="Verdana" w:hAnsi="Verdana"/>
          <w:lang w:val="ru-RU"/>
        </w:rPr>
        <w:t>.</w:t>
      </w:r>
    </w:p>
    <w:p w14:paraId="418E9556" w14:textId="0EDBECAB" w:rsidR="006537B0" w:rsidRDefault="006537B0" w:rsidP="006537B0">
      <w:pPr>
        <w:spacing w:after="0" w:line="240" w:lineRule="auto"/>
        <w:ind w:left="708" w:firstLine="708"/>
        <w:contextualSpacing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Помимо заполненой Таблицы 2 в КП должно быть развернутое описание погрузчика, его параметров, функций и опций.</w:t>
      </w:r>
    </w:p>
    <w:p w14:paraId="26130F26" w14:textId="447F2925" w:rsidR="006537B0" w:rsidRPr="00514D77" w:rsidRDefault="006537B0" w:rsidP="006537B0">
      <w:pPr>
        <w:spacing w:after="0" w:line="240" w:lineRule="auto"/>
        <w:ind w:left="708" w:firstLine="708"/>
        <w:contextualSpacing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В КП </w:t>
      </w:r>
      <w:r w:rsidR="000A21DC">
        <w:rPr>
          <w:rFonts w:ascii="Verdana" w:hAnsi="Verdana"/>
          <w:lang w:val="ru-RU"/>
        </w:rPr>
        <w:t xml:space="preserve">отдельным пунктом </w:t>
      </w:r>
      <w:r>
        <w:rPr>
          <w:rFonts w:ascii="Verdana" w:hAnsi="Verdana"/>
          <w:lang w:val="ru-RU"/>
        </w:rPr>
        <w:t>должны быть ука</w:t>
      </w:r>
      <w:r w:rsidR="000A21DC">
        <w:rPr>
          <w:rFonts w:ascii="Verdana" w:hAnsi="Verdana"/>
          <w:lang w:val="ru-RU"/>
        </w:rPr>
        <w:t>заны реквизиты Контрагента (ИНН) и контактный номер телефона и электронная почта представителя Контрагента, которому можно задать уточняющие вопросы по КП.</w:t>
      </w:r>
    </w:p>
    <w:p w14:paraId="25ADA915" w14:textId="77777777" w:rsidR="00CB1B43" w:rsidRDefault="00CB1B43" w:rsidP="00CB1B43">
      <w:pPr>
        <w:spacing w:after="0" w:line="240" w:lineRule="auto"/>
        <w:ind w:left="708" w:firstLine="1"/>
        <w:contextualSpacing/>
        <w:jc w:val="both"/>
        <w:rPr>
          <w:rFonts w:ascii="Verdana" w:hAnsi="Verdana"/>
          <w:lang w:val="ru-RU"/>
        </w:rPr>
      </w:pPr>
    </w:p>
    <w:p w14:paraId="2E32B911" w14:textId="77A84F9E" w:rsidR="00CB1B43" w:rsidRPr="005A3E6F" w:rsidRDefault="00CB1B43" w:rsidP="006537B0">
      <w:pPr>
        <w:spacing w:after="0" w:line="240" w:lineRule="auto"/>
        <w:ind w:firstLine="708"/>
        <w:rPr>
          <w:rFonts w:ascii="Verdana" w:hAnsi="Verdana"/>
          <w:lang w:val="en-US"/>
        </w:rPr>
      </w:pPr>
      <w:r>
        <w:rPr>
          <w:rFonts w:ascii="Verdana" w:hAnsi="Verdana"/>
          <w:lang w:val="ru-RU"/>
        </w:rPr>
        <w:t xml:space="preserve">Таблица </w:t>
      </w:r>
      <w:r w:rsidR="006537B0">
        <w:rPr>
          <w:rFonts w:ascii="Verdana" w:hAnsi="Verdana"/>
          <w:lang w:val="ru-RU"/>
        </w:rPr>
        <w:t>2</w:t>
      </w:r>
      <w:r>
        <w:rPr>
          <w:rFonts w:ascii="Verdana" w:hAnsi="Verdana"/>
          <w:lang w:val="ru-RU"/>
        </w:rPr>
        <w:t>.</w:t>
      </w:r>
      <w:r w:rsidR="006537B0">
        <w:rPr>
          <w:rFonts w:ascii="Verdana" w:hAnsi="Verdana"/>
          <w:lang w:val="ru-RU"/>
        </w:rPr>
        <w:t xml:space="preserve"> Коммерческое предложение.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220"/>
        <w:gridCol w:w="5989"/>
      </w:tblGrid>
      <w:tr w:rsidR="00E40566" w:rsidRPr="00E40566" w14:paraId="44E1C283" w14:textId="77777777" w:rsidTr="00E40566">
        <w:trPr>
          <w:trHeight w:val="28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C74" w14:textId="77777777" w:rsidR="00E40566" w:rsidRPr="00E40566" w:rsidRDefault="00E40566" w:rsidP="00E40566">
            <w:pPr>
              <w:spacing w:after="0" w:line="240" w:lineRule="auto"/>
              <w:jc w:val="center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Коммерческое предложение</w:t>
            </w:r>
          </w:p>
        </w:tc>
      </w:tr>
      <w:tr w:rsidR="00E40566" w:rsidRPr="00E40566" w14:paraId="44EFADEE" w14:textId="77777777" w:rsidTr="00E40566">
        <w:trPr>
          <w:trHeight w:val="28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E34C" w14:textId="77777777" w:rsidR="00E40566" w:rsidRPr="00E40566" w:rsidRDefault="00E40566" w:rsidP="00E40566">
            <w:pPr>
              <w:spacing w:after="0" w:line="240" w:lineRule="auto"/>
              <w:jc w:val="center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Покупка погрузчика</w:t>
            </w:r>
          </w:p>
        </w:tc>
      </w:tr>
      <w:tr w:rsidR="00E40566" w:rsidRPr="00E40566" w14:paraId="73AF5834" w14:textId="77777777" w:rsidTr="00E40566">
        <w:trPr>
          <w:trHeight w:val="19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CB4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Стоимость погрузчика (включая доставку и сборку), руб. без НДС. (Стоимость аренды техники необходимой для выгрузки и сборки погрузчика в стоимость погрузчика не включать)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25AE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40566" w:rsidRPr="00E40566" w14:paraId="398ACA0A" w14:textId="77777777" w:rsidTr="00E40566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B47C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lastRenderedPageBreak/>
              <w:t>Гарантийные обязательства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A9B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40566" w:rsidRPr="00E40566" w14:paraId="09590F41" w14:textId="77777777" w:rsidTr="00E40566">
        <w:trPr>
          <w:trHeight w:val="11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B3AF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Список и стоимости аренды техники необходимой для выгрузки и сборки погрузчика , руб. без НДС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014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40566" w:rsidRPr="00E40566" w14:paraId="0D288D1C" w14:textId="77777777" w:rsidTr="00E40566">
        <w:trPr>
          <w:trHeight w:val="28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AD7E0" w14:textId="77777777" w:rsidR="00E40566" w:rsidRPr="00E40566" w:rsidRDefault="00E40566" w:rsidP="00E40566">
            <w:pPr>
              <w:spacing w:after="0" w:line="240" w:lineRule="auto"/>
              <w:jc w:val="center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Аренда погрузчика</w:t>
            </w:r>
          </w:p>
        </w:tc>
      </w:tr>
      <w:tr w:rsidR="00E40566" w:rsidRPr="00E40566" w14:paraId="2394A555" w14:textId="77777777" w:rsidTr="00E40566">
        <w:trPr>
          <w:trHeight w:val="19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1C1" w14:textId="3A36DB88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Стоимость аренды погрузчика в месяц, руб. без НДС. (Стоимость аренды техники необходимой для выгрузки и сборки погрузчика в стоимость аренды погрузчика не включать)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96FF" w14:textId="77777777" w:rsidR="00E40566" w:rsidRPr="00E40566" w:rsidRDefault="00E40566" w:rsidP="00E40566">
            <w:pPr>
              <w:spacing w:after="0" w:line="240" w:lineRule="auto"/>
              <w:jc w:val="center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40566" w:rsidRPr="00E40566" w14:paraId="2BDCE1D4" w14:textId="77777777" w:rsidTr="00E40566">
        <w:trPr>
          <w:trHeight w:val="25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88D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Стоимость доставки/вывоза и сборки/разборки погрузчика, руб. без НДС. (Стоимость аренды техники необходимой для выгрузки/загрузки и сборки/разборки погрузчика в стоимость аренды погрузчика не включать)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A552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  <w:tr w:rsidR="00E40566" w:rsidRPr="00E40566" w14:paraId="3A330145" w14:textId="77777777" w:rsidTr="00E40566">
        <w:trPr>
          <w:trHeight w:val="14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DD8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Список и стоимости аренды техники необходимой для выгрузки/загрузки и сборки/разборки погрузчика , руб. без НДС</w:t>
            </w:r>
          </w:p>
        </w:tc>
        <w:tc>
          <w:tcPr>
            <w:tcW w:w="5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2A69" w14:textId="77777777" w:rsidR="00E40566" w:rsidRPr="00E40566" w:rsidRDefault="00E40566" w:rsidP="00E40566">
            <w:pPr>
              <w:spacing w:after="0" w:line="240" w:lineRule="auto"/>
              <w:rPr>
                <w:rFonts w:cs="Arial"/>
                <w:color w:val="000000"/>
                <w:kern w:val="0"/>
                <w:lang w:val="ru-RU" w:eastAsia="zh-CN"/>
              </w:rPr>
            </w:pPr>
            <w:r w:rsidRPr="00E40566">
              <w:rPr>
                <w:rFonts w:cs="Arial"/>
                <w:color w:val="000000"/>
                <w:kern w:val="0"/>
                <w:lang w:val="ru-RU" w:eastAsia="zh-CN"/>
              </w:rPr>
              <w:t> </w:t>
            </w:r>
          </w:p>
        </w:tc>
      </w:tr>
    </w:tbl>
    <w:p w14:paraId="2EB88019" w14:textId="77777777" w:rsidR="006537B0" w:rsidRPr="00FF4EC0" w:rsidRDefault="00D15D5B" w:rsidP="00AF191D">
      <w:pPr>
        <w:spacing w:after="0" w:line="240" w:lineRule="auto"/>
        <w:ind w:left="567" w:firstLine="709"/>
        <w:rPr>
          <w:rFonts w:ascii="Verdana" w:hAnsi="Verdana"/>
          <w:i/>
          <w:color w:val="0070C0"/>
          <w:lang w:val="ru-RU"/>
        </w:rPr>
      </w:pPr>
      <w:r w:rsidRPr="00FF4EC0">
        <w:rPr>
          <w:rFonts w:ascii="Verdana" w:hAnsi="Verdana"/>
          <w:i/>
          <w:color w:val="0070C0"/>
          <w:lang w:val="ru-RU"/>
        </w:rPr>
        <w:t xml:space="preserve"> </w:t>
      </w:r>
      <w:r w:rsidR="00207AEF" w:rsidRPr="00FF4EC0">
        <w:rPr>
          <w:rFonts w:ascii="Verdana" w:hAnsi="Verdana"/>
          <w:i/>
          <w:color w:val="0070C0"/>
          <w:lang w:val="ru-RU"/>
        </w:rPr>
        <w:t xml:space="preserve"> </w:t>
      </w:r>
    </w:p>
    <w:p w14:paraId="2B8F2473" w14:textId="5AE6912B" w:rsidR="00DD2697" w:rsidRPr="006537B0" w:rsidRDefault="00DD2697" w:rsidP="006537B0">
      <w:pPr>
        <w:spacing w:after="0" w:line="240" w:lineRule="auto"/>
        <w:rPr>
          <w:rFonts w:ascii="Verdana" w:hAnsi="Verdana"/>
          <w:i/>
          <w:color w:val="0070C0"/>
          <w:lang w:val="ru-RU"/>
        </w:rPr>
      </w:pPr>
    </w:p>
    <w:p w14:paraId="37DA2F1D" w14:textId="4EDBA5B4" w:rsidR="001C2F2A" w:rsidRPr="00A84E06" w:rsidRDefault="0043359F" w:rsidP="00A84E06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bCs/>
          <w:lang w:val="ru-RU"/>
        </w:rPr>
      </w:pPr>
      <w:r w:rsidRPr="00B30DF1">
        <w:rPr>
          <w:rFonts w:ascii="Verdana" w:hAnsi="Verdana"/>
          <w:b/>
          <w:bCs/>
          <w:lang w:val="ru-RU"/>
        </w:rPr>
        <w:t xml:space="preserve">2.3. </w:t>
      </w:r>
      <w:bookmarkStart w:id="43" w:name="_Toc472351084"/>
      <w:bookmarkStart w:id="44" w:name="_Toc472412715"/>
      <w:bookmarkStart w:id="45" w:name="_Toc472412733"/>
      <w:bookmarkStart w:id="46" w:name="_Toc513111863"/>
      <w:bookmarkStart w:id="47" w:name="_Toc513193637"/>
      <w:bookmarkStart w:id="48" w:name="_Toc513193647"/>
      <w:bookmarkStart w:id="49" w:name="_Toc513193685"/>
      <w:bookmarkStart w:id="50" w:name="_Toc513220063"/>
      <w:bookmarkStart w:id="51" w:name="_Toc514681489"/>
      <w:bookmarkStart w:id="52" w:name="_Toc514681499"/>
      <w:bookmarkStart w:id="53" w:name="_Toc514681509"/>
      <w:bookmarkStart w:id="54" w:name="_Toc517901917"/>
      <w:bookmarkStart w:id="55" w:name="_Toc517901927"/>
      <w:bookmarkStart w:id="56" w:name="_Toc517901937"/>
      <w:bookmarkStart w:id="57" w:name="_Toc517902084"/>
      <w:bookmarkStart w:id="58" w:name="_Toc517902120"/>
      <w:bookmarkStart w:id="59" w:name="_Toc517902130"/>
      <w:bookmarkStart w:id="60" w:name="_Toc517902236"/>
      <w:bookmarkStart w:id="61" w:name="_Toc517902464"/>
      <w:r w:rsidRPr="00B30DF1">
        <w:rPr>
          <w:rFonts w:ascii="Verdana" w:hAnsi="Verdana"/>
          <w:b/>
          <w:bCs/>
          <w:lang w:val="ru-RU"/>
        </w:rPr>
        <w:tab/>
      </w:r>
      <w:r w:rsidR="007B5F45" w:rsidRPr="00B30DF1">
        <w:rPr>
          <w:rFonts w:ascii="Verdana" w:hAnsi="Verdana"/>
          <w:b/>
          <w:bCs/>
          <w:lang w:val="ru-RU"/>
        </w:rPr>
        <w:t xml:space="preserve">Сроки 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="00A84E06">
        <w:rPr>
          <w:rFonts w:ascii="Verdana" w:hAnsi="Verdana"/>
          <w:b/>
          <w:bCs/>
          <w:lang w:val="ru-RU"/>
        </w:rPr>
        <w:t>оказания услуг</w:t>
      </w:r>
    </w:p>
    <w:p w14:paraId="304A6645" w14:textId="5E965296" w:rsidR="00375CD3" w:rsidRPr="00491B4A" w:rsidRDefault="00375CD3" w:rsidP="005B3763">
      <w:pPr>
        <w:ind w:left="708" w:firstLine="708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Срок </w:t>
      </w:r>
      <w:r w:rsidR="005B3763">
        <w:rPr>
          <w:rFonts w:ascii="Verdana" w:hAnsi="Verdana"/>
          <w:lang w:val="ru-RU"/>
        </w:rPr>
        <w:t>поставки и ввода в эксплуатацию</w:t>
      </w:r>
      <w:r>
        <w:rPr>
          <w:rFonts w:ascii="Verdana" w:hAnsi="Verdana"/>
          <w:lang w:val="ru-RU"/>
        </w:rPr>
        <w:t xml:space="preserve">: </w:t>
      </w:r>
      <w:r w:rsidR="005B3763">
        <w:rPr>
          <w:rFonts w:ascii="Verdana" w:hAnsi="Verdana"/>
          <w:lang w:val="ru-RU"/>
        </w:rPr>
        <w:t>январь 2025</w:t>
      </w:r>
      <w:r>
        <w:rPr>
          <w:rFonts w:ascii="Verdana" w:hAnsi="Verdana"/>
          <w:lang w:val="ru-RU"/>
        </w:rPr>
        <w:t>.</w:t>
      </w:r>
    </w:p>
    <w:p w14:paraId="78AFA85E" w14:textId="0622D64A" w:rsidR="00881CA6" w:rsidRPr="00B30DF1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b/>
          <w:bCs/>
          <w:lang w:val="ru-RU"/>
        </w:rPr>
      </w:pPr>
      <w:r w:rsidRPr="00B30DF1">
        <w:rPr>
          <w:rFonts w:ascii="Verdana" w:hAnsi="Verdana"/>
          <w:b/>
          <w:bCs/>
          <w:lang w:val="ru-RU"/>
        </w:rPr>
        <w:t>2.4.  Обязанности Контрагента</w:t>
      </w:r>
    </w:p>
    <w:p w14:paraId="7237B061" w14:textId="6C3FE084" w:rsidR="00A45213" w:rsidRPr="00B812C1" w:rsidRDefault="00A45213" w:rsidP="00A45213">
      <w:pPr>
        <w:tabs>
          <w:tab w:val="left" w:pos="1276"/>
        </w:tabs>
        <w:spacing w:after="0" w:line="240" w:lineRule="auto"/>
        <w:ind w:left="709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ab/>
      </w:r>
      <w:r w:rsidRPr="00B812C1">
        <w:rPr>
          <w:rFonts w:ascii="Verdana" w:hAnsi="Verdana"/>
          <w:lang w:val="ru-RU"/>
        </w:rPr>
        <w:t>Обязанности Контрагента прописаны в ТЗ и приложениях к нему.</w:t>
      </w:r>
    </w:p>
    <w:p w14:paraId="72C6D63B" w14:textId="5C307963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62" w:name="_Toc84854376"/>
      <w:bookmarkStart w:id="63" w:name="_Toc517902237"/>
      <w:bookmarkStart w:id="64" w:name="_Toc517903088"/>
      <w:bookmarkStart w:id="65" w:name="_Toc73017958"/>
      <w:bookmarkEnd w:id="62"/>
      <w:bookmarkEnd w:id="63"/>
      <w:bookmarkEnd w:id="64"/>
      <w:bookmarkEnd w:id="65"/>
    </w:p>
    <w:p w14:paraId="38FCB730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6" w:name="_Toc472351086"/>
      <w:bookmarkStart w:id="67" w:name="_Toc472412717"/>
      <w:bookmarkStart w:id="68" w:name="_Toc472412735"/>
      <w:bookmarkStart w:id="69" w:name="_Toc513111865"/>
      <w:bookmarkStart w:id="70" w:name="_Toc513193640"/>
      <w:bookmarkStart w:id="71" w:name="_Toc513193650"/>
      <w:bookmarkStart w:id="72" w:name="_Toc513193688"/>
      <w:bookmarkStart w:id="73" w:name="_Toc513220066"/>
      <w:bookmarkStart w:id="74" w:name="_Toc514681492"/>
      <w:bookmarkStart w:id="75" w:name="_Toc514681502"/>
      <w:bookmarkStart w:id="76" w:name="_Toc514681512"/>
      <w:bookmarkStart w:id="77" w:name="_Toc517901920"/>
      <w:bookmarkStart w:id="78" w:name="_Toc517901930"/>
      <w:bookmarkStart w:id="79" w:name="_Toc517901940"/>
      <w:bookmarkStart w:id="80" w:name="_Toc517902087"/>
      <w:bookmarkStart w:id="81" w:name="_Toc517902123"/>
      <w:bookmarkStart w:id="82" w:name="_Toc517902133"/>
      <w:bookmarkStart w:id="83" w:name="_Toc517902240"/>
      <w:bookmarkStart w:id="84" w:name="_Toc517902467"/>
      <w:bookmarkStart w:id="85" w:name="_Toc84854378"/>
      <w:r w:rsidRPr="00FF4EC0">
        <w:rPr>
          <w:rFonts w:ascii="Verdana" w:hAnsi="Verdana"/>
        </w:rPr>
        <w:t>Интеллектуальная собственность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20C7BF0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2D404830" w14:textId="22EB2922" w:rsidR="00061BB7" w:rsidRPr="00FF4EC0" w:rsidRDefault="00E25A1B" w:rsidP="004179B5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FF4EC0">
        <w:rPr>
          <w:rFonts w:ascii="Verdana" w:hAnsi="Verdana"/>
          <w:lang w:val="ru-RU"/>
        </w:rPr>
        <w:t>Контрагента</w:t>
      </w:r>
      <w:r w:rsidRPr="00FF4EC0">
        <w:rPr>
          <w:rFonts w:ascii="Verdana" w:hAnsi="Verdana"/>
          <w:lang w:val="ru-RU"/>
        </w:rPr>
        <w:t xml:space="preserve"> 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CC01F0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FF4EC0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B0E8B5" w14:textId="77777777" w:rsidR="00FF5A18" w:rsidRDefault="00FF5A18" w:rsidP="001B084F">
            <w:pPr>
              <w:spacing w:after="0" w:line="240" w:lineRule="auto"/>
              <w:jc w:val="center"/>
              <w:rPr>
                <w:rFonts w:ascii="Verdana" w:hAnsi="Verdana"/>
                <w:lang w:val="ru-RU"/>
              </w:rPr>
            </w:pPr>
          </w:p>
          <w:p w14:paraId="284066BE" w14:textId="5ED0C164" w:rsidR="001B084F" w:rsidRPr="001B084F" w:rsidRDefault="001B084F" w:rsidP="001B084F">
            <w:pPr>
              <w:spacing w:after="0" w:line="240" w:lineRule="auto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</w:tr>
    </w:tbl>
    <w:p w14:paraId="59DC1FBC" w14:textId="243A4A6D" w:rsidR="00FF5A18" w:rsidRPr="00FF4EC0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p w14:paraId="6E6F150B" w14:textId="7ABC44B4" w:rsidR="00677618" w:rsidRPr="00FF4EC0" w:rsidRDefault="00677618" w:rsidP="001B084F">
      <w:pPr>
        <w:spacing w:after="0" w:line="240" w:lineRule="auto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6" w:name="_Toc472351087"/>
      <w:bookmarkStart w:id="87" w:name="_Toc472412718"/>
      <w:bookmarkStart w:id="88" w:name="_Toc472412736"/>
      <w:bookmarkStart w:id="89" w:name="_Toc513111866"/>
      <w:bookmarkStart w:id="90" w:name="_Toc513193641"/>
      <w:bookmarkStart w:id="91" w:name="_Toc513193651"/>
      <w:bookmarkStart w:id="92" w:name="_Toc513193689"/>
      <w:bookmarkStart w:id="93" w:name="_Toc513220067"/>
      <w:bookmarkStart w:id="94" w:name="_Toc514681493"/>
      <w:bookmarkStart w:id="95" w:name="_Toc514681503"/>
      <w:bookmarkStart w:id="96" w:name="_Toc514681513"/>
      <w:bookmarkStart w:id="97" w:name="_Toc517901921"/>
      <w:bookmarkStart w:id="98" w:name="_Toc517901931"/>
      <w:bookmarkStart w:id="99" w:name="_Toc517901941"/>
      <w:bookmarkStart w:id="100" w:name="_Toc517902088"/>
      <w:bookmarkStart w:id="101" w:name="_Toc517902124"/>
      <w:bookmarkStart w:id="102" w:name="_Toc517902134"/>
      <w:bookmarkStart w:id="103" w:name="_Toc517902241"/>
      <w:bookmarkStart w:id="104" w:name="_Toc517902468"/>
      <w:bookmarkStart w:id="105" w:name="_Toc84854379"/>
      <w:r w:rsidRPr="00FF4EC0">
        <w:rPr>
          <w:rFonts w:ascii="Verdana" w:hAnsi="Verdana"/>
        </w:rPr>
        <w:lastRenderedPageBreak/>
        <w:t>Персональные данные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418FEDE0" w14:textId="40868BA3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5916EE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6EF6E317" w:rsidR="00DE4081" w:rsidRPr="00FF4EC0" w:rsidRDefault="005E4A4C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</w:tr>
      <w:tr w:rsidR="00DE4081" w:rsidRPr="00057DDD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057DDD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361816DA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Компанией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и передаются Контрагенту (в том числе, посредством предоставления доступа к персональным данным в системах </w:t>
            </w:r>
            <w:r w:rsidR="00745BB3" w:rsidRPr="00FF4EC0">
              <w:rPr>
                <w:rFonts w:ascii="Verdana" w:hAnsi="Verdana"/>
                <w:lang w:val="ru-RU"/>
              </w:rPr>
              <w:t>Компании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057DDD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62C6E058" w:rsidR="00DE4081" w:rsidRPr="00FF4EC0" w:rsidRDefault="00DE4081" w:rsidP="00745BB3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по требованию (поручению)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>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FF4EC0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FF4EC0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p w14:paraId="0E16FADF" w14:textId="3555BF77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0553384D" w14:textId="30CE9429" w:rsidR="00533A21" w:rsidRPr="00FF4EC0" w:rsidRDefault="00533A21" w:rsidP="00745BB3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FF4EC0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745BB3" w:rsidRPr="00FF4EC0">
        <w:rPr>
          <w:rFonts w:ascii="Verdana" w:hAnsi="Verdana"/>
          <w:lang w:val="ru-RU"/>
        </w:rPr>
        <w:t xml:space="preserve">Компании </w:t>
      </w:r>
      <w:r w:rsidRPr="00FF4EC0">
        <w:rPr>
          <w:rFonts w:ascii="Verdana" w:hAnsi="Verdana"/>
          <w:bCs/>
          <w:lang w:val="ru-RU"/>
        </w:rPr>
        <w:t>должен документально подтвердить соответствие требованиям, приведенным в п. 15.3 ОУЗ.</w:t>
      </w:r>
    </w:p>
    <w:p w14:paraId="2F549F19" w14:textId="1D8A605A" w:rsidR="00533A21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609F132B" w14:textId="023D0D36" w:rsidR="001B084F" w:rsidRDefault="001B084F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7B308D75" w14:textId="46BA42EA" w:rsidR="001B084F" w:rsidRDefault="001B084F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72A5D675" w14:textId="77777777" w:rsidR="001B084F" w:rsidRPr="00FF4EC0" w:rsidRDefault="001B084F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8A14A36" w14:textId="510E5822" w:rsidR="003D0A9D" w:rsidRPr="00FF4EC0" w:rsidRDefault="003D0A9D" w:rsidP="00AF191D">
      <w:pPr>
        <w:pStyle w:val="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06" w:name="_Toc84854381"/>
      <w:bookmarkStart w:id="107" w:name="_Toc84854382"/>
      <w:bookmarkEnd w:id="106"/>
      <w:r w:rsidRPr="00FF4EC0">
        <w:rPr>
          <w:rFonts w:ascii="Verdana" w:hAnsi="Verdana"/>
          <w:lang w:val="ru-RU"/>
        </w:rPr>
        <w:lastRenderedPageBreak/>
        <w:t>Приложения</w:t>
      </w:r>
      <w:bookmarkEnd w:id="107"/>
    </w:p>
    <w:p w14:paraId="58C19A5F" w14:textId="77777777" w:rsidR="00B30DF1" w:rsidRDefault="00B30DF1" w:rsidP="001B084F">
      <w:pPr>
        <w:pStyle w:val="aa"/>
        <w:rPr>
          <w:rFonts w:ascii="Verdana" w:hAnsi="Verdana"/>
          <w:b/>
          <w:bCs/>
          <w:lang w:val="ru-RU"/>
        </w:rPr>
      </w:pPr>
      <w:bookmarkStart w:id="108" w:name="_Toc513111868"/>
      <w:bookmarkStart w:id="109" w:name="_Toc513193643"/>
      <w:bookmarkStart w:id="110" w:name="_Toc513193653"/>
      <w:bookmarkStart w:id="111" w:name="_Toc513193691"/>
      <w:bookmarkStart w:id="112" w:name="_Toc513220069"/>
      <w:bookmarkStart w:id="113" w:name="_Toc514681495"/>
      <w:bookmarkStart w:id="114" w:name="_Toc514681505"/>
      <w:bookmarkStart w:id="115" w:name="_Toc514681515"/>
      <w:bookmarkStart w:id="116" w:name="_Toc517901923"/>
      <w:bookmarkStart w:id="117" w:name="_Toc517901933"/>
      <w:bookmarkStart w:id="118" w:name="_Toc517901943"/>
      <w:bookmarkStart w:id="119" w:name="_Toc517902090"/>
      <w:bookmarkStart w:id="120" w:name="_Toc517902126"/>
      <w:bookmarkStart w:id="121" w:name="_Toc517902136"/>
      <w:bookmarkStart w:id="122" w:name="_Toc517902243"/>
      <w:bookmarkStart w:id="123" w:name="_Toc517902470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sectPr w:rsidR="00B30DF1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84C1" w14:textId="77777777" w:rsidR="00C52C7E" w:rsidRDefault="00C52C7E">
      <w:r>
        <w:separator/>
      </w:r>
    </w:p>
  </w:endnote>
  <w:endnote w:type="continuationSeparator" w:id="0">
    <w:p w14:paraId="7904AC0F" w14:textId="77777777" w:rsidR="00C52C7E" w:rsidRDefault="00C52C7E">
      <w:r>
        <w:continuationSeparator/>
      </w:r>
    </w:p>
  </w:endnote>
  <w:endnote w:type="continuationNotice" w:id="1">
    <w:p w14:paraId="7CA59EF3" w14:textId="77777777" w:rsidR="00C52C7E" w:rsidRDefault="00C52C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057DDD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44F02621" w14:textId="44294117" w:rsidR="007063F0" w:rsidRPr="005D7AFA" w:rsidRDefault="00444911" w:rsidP="00231928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231928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2A6D0DD4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59D77468" w14:textId="2F3E9D0A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3999A59B" w14:textId="391E73B2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7BB102E8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E40566">
            <w:rPr>
              <w:rFonts w:ascii="Verdana" w:eastAsia="DengXian" w:hAnsi="Verdana" w:cs="Arial"/>
              <w:noProof/>
              <w:sz w:val="14"/>
              <w:szCs w:val="14"/>
            </w:rPr>
            <w:t>7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E40566">
            <w:rPr>
              <w:rFonts w:ascii="Verdana" w:eastAsia="DengXian" w:hAnsi="Verdana" w:cs="Arial"/>
              <w:noProof/>
              <w:sz w:val="14"/>
              <w:szCs w:val="14"/>
            </w:rPr>
            <w:t>8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0E593" w14:textId="77777777" w:rsidR="00C52C7E" w:rsidRDefault="00C52C7E">
      <w:r>
        <w:separator/>
      </w:r>
    </w:p>
  </w:footnote>
  <w:footnote w:type="continuationSeparator" w:id="0">
    <w:p w14:paraId="386168EE" w14:textId="77777777" w:rsidR="00C52C7E" w:rsidRDefault="00C52C7E">
      <w:r>
        <w:continuationSeparator/>
      </w:r>
    </w:p>
  </w:footnote>
  <w:footnote w:type="continuationNotice" w:id="1">
    <w:p w14:paraId="723A5E2E" w14:textId="77777777" w:rsidR="00C52C7E" w:rsidRDefault="00C52C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35EAB21A" w14:textId="77777777" w:rsidTr="00171DF7">
      <w:trPr>
        <w:cantSplit/>
        <w:trHeight w:val="1121"/>
      </w:trPr>
      <w:tc>
        <w:tcPr>
          <w:tcW w:w="5944" w:type="dxa"/>
          <w:vAlign w:val="center"/>
        </w:tcPr>
        <w:p w14:paraId="7CF7F202" w14:textId="2D870FEC" w:rsidR="00936371" w:rsidRPr="00FF4EC0" w:rsidRDefault="00AC0E59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Внут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е</w:t>
          </w:r>
          <w:r w:rsidR="00936371" w:rsidRPr="00FF4EC0">
            <w:rPr>
              <w:rFonts w:ascii="Verdana" w:hAnsi="Verdana"/>
              <w:b/>
              <w:bCs/>
              <w:sz w:val="24"/>
              <w:szCs w:val="24"/>
              <w:lang w:val="ru-RU"/>
            </w:rPr>
            <w:t>нний конкурс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1E279F7" w14:textId="77777777" w:rsidTr="00FF4EC0">
            <w:trPr>
              <w:jc w:val="right"/>
            </w:trPr>
            <w:tc>
              <w:tcPr>
                <w:tcW w:w="1263" w:type="dxa"/>
              </w:tcPr>
              <w:p w14:paraId="365060B2" w14:textId="3076D9FB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49A635B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2DA64367" w14:textId="77777777" w:rsidTr="00FF4EC0">
            <w:trPr>
              <w:jc w:val="right"/>
            </w:trPr>
            <w:tc>
              <w:tcPr>
                <w:tcW w:w="1263" w:type="dxa"/>
              </w:tcPr>
              <w:p w14:paraId="62EF3A7B" w14:textId="151EB264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69B1E171" w14:textId="77777777" w:rsidR="001B084F" w:rsidRPr="0084314E" w:rsidRDefault="001B084F" w:rsidP="001B084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u w:val="single"/>
                    <w:lang w:val="ru-RU"/>
                  </w:rPr>
                </w:pPr>
                <w:r w:rsidRPr="005B3800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Лог</w:t>
                </w:r>
                <w:r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истическое</w:t>
                </w:r>
                <w:r w:rsidRPr="005B3800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 xml:space="preserve"> планирование_</w:t>
                </w:r>
              </w:p>
              <w:p w14:paraId="0EA366AA" w14:textId="2AE3F062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</w:p>
            </w:tc>
          </w:tr>
          <w:tr w:rsidR="00936371" w:rsidRPr="00FF4EC0" w14:paraId="522E070A" w14:textId="77777777" w:rsidTr="00FF4EC0">
            <w:trPr>
              <w:jc w:val="right"/>
            </w:trPr>
            <w:tc>
              <w:tcPr>
                <w:tcW w:w="1263" w:type="dxa"/>
              </w:tcPr>
              <w:p w14:paraId="299E12E7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3047EBCE" w14:textId="187418C5" w:rsidR="00936371" w:rsidRPr="001B084F" w:rsidRDefault="001B084F" w:rsidP="005525D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</w:pPr>
                <w:r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_</w:t>
                </w:r>
                <w:r w:rsidR="005525DF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2</w:t>
                </w:r>
                <w:r w:rsidRPr="001B084F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7.0</w:t>
                </w:r>
                <w:r w:rsidR="005525DF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9</w:t>
                </w:r>
                <w:r w:rsidRPr="001B084F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.2024</w:t>
                </w:r>
                <w:r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__</w:t>
                </w:r>
              </w:p>
            </w:tc>
          </w:tr>
        </w:tbl>
        <w:p w14:paraId="4ADDB161" w14:textId="6173627D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6561D3"/>
    <w:multiLevelType w:val="multilevel"/>
    <w:tmpl w:val="6E402A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2520"/>
      </w:pPr>
      <w:rPr>
        <w:rFonts w:hint="default"/>
      </w:rPr>
    </w:lvl>
  </w:abstractNum>
  <w:abstractNum w:abstractNumId="3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5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6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7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4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1"/>
  </w:num>
  <w:num w:numId="3">
    <w:abstractNumId w:val="45"/>
  </w:num>
  <w:num w:numId="4">
    <w:abstractNumId w:val="18"/>
  </w:num>
  <w:num w:numId="5">
    <w:abstractNumId w:val="38"/>
  </w:num>
  <w:num w:numId="6">
    <w:abstractNumId w:val="3"/>
  </w:num>
  <w:num w:numId="7">
    <w:abstractNumId w:val="32"/>
  </w:num>
  <w:num w:numId="8">
    <w:abstractNumId w:val="34"/>
  </w:num>
  <w:num w:numId="9">
    <w:abstractNumId w:val="15"/>
  </w:num>
  <w:num w:numId="10">
    <w:abstractNumId w:val="39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</w:num>
  <w:num w:numId="15">
    <w:abstractNumId w:val="6"/>
  </w:num>
  <w:num w:numId="16">
    <w:abstractNumId w:val="20"/>
  </w:num>
  <w:num w:numId="17">
    <w:abstractNumId w:val="9"/>
  </w:num>
  <w:num w:numId="18">
    <w:abstractNumId w:val="30"/>
  </w:num>
  <w:num w:numId="19">
    <w:abstractNumId w:val="16"/>
  </w:num>
  <w:num w:numId="20">
    <w:abstractNumId w:val="43"/>
  </w:num>
  <w:num w:numId="21">
    <w:abstractNumId w:val="27"/>
  </w:num>
  <w:num w:numId="22">
    <w:abstractNumId w:val="17"/>
  </w:num>
  <w:num w:numId="23">
    <w:abstractNumId w:val="5"/>
  </w:num>
  <w:num w:numId="24">
    <w:abstractNumId w:val="46"/>
  </w:num>
  <w:num w:numId="25">
    <w:abstractNumId w:val="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8"/>
  </w:num>
  <w:num w:numId="29">
    <w:abstractNumId w:val="37"/>
  </w:num>
  <w:num w:numId="30">
    <w:abstractNumId w:val="3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3"/>
  </w:num>
  <w:num w:numId="35">
    <w:abstractNumId w:val="24"/>
  </w:num>
  <w:num w:numId="36">
    <w:abstractNumId w:val="23"/>
  </w:num>
  <w:num w:numId="37">
    <w:abstractNumId w:val="22"/>
  </w:num>
  <w:num w:numId="38">
    <w:abstractNumId w:val="25"/>
  </w:num>
  <w:num w:numId="39">
    <w:abstractNumId w:val="40"/>
  </w:num>
  <w:num w:numId="40">
    <w:abstractNumId w:val="31"/>
  </w:num>
  <w:num w:numId="41">
    <w:abstractNumId w:val="0"/>
  </w:num>
  <w:num w:numId="42">
    <w:abstractNumId w:val="36"/>
  </w:num>
  <w:num w:numId="43">
    <w:abstractNumId w:val="10"/>
  </w:num>
  <w:num w:numId="44">
    <w:abstractNumId w:val="42"/>
  </w:num>
  <w:num w:numId="45">
    <w:abstractNumId w:val="4"/>
  </w:num>
  <w:num w:numId="46">
    <w:abstractNumId w:val="21"/>
  </w:num>
  <w:num w:numId="47">
    <w:abstractNumId w:val="14"/>
  </w:num>
  <w:num w:numId="48">
    <w:abstractNumId w:val="44"/>
  </w:num>
  <w:num w:numId="49">
    <w:abstractNumId w:val="41"/>
  </w:num>
  <w:num w:numId="50">
    <w:abstractNumId w:val="30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 w:numId="53">
    <w:abstractNumId w:val="26"/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57DDD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6FE8"/>
    <w:rsid w:val="000A21DC"/>
    <w:rsid w:val="000A35D4"/>
    <w:rsid w:val="000A6CB8"/>
    <w:rsid w:val="000A6F51"/>
    <w:rsid w:val="000A7A31"/>
    <w:rsid w:val="000B5B65"/>
    <w:rsid w:val="000C73A1"/>
    <w:rsid w:val="000D506F"/>
    <w:rsid w:val="000E2A9F"/>
    <w:rsid w:val="000E4E7B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71DF7"/>
    <w:rsid w:val="00175D62"/>
    <w:rsid w:val="00191406"/>
    <w:rsid w:val="00196C9E"/>
    <w:rsid w:val="0019719B"/>
    <w:rsid w:val="00197D8E"/>
    <w:rsid w:val="001A39FD"/>
    <w:rsid w:val="001B084F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1928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128D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61294"/>
    <w:rsid w:val="003664CA"/>
    <w:rsid w:val="00375CD3"/>
    <w:rsid w:val="003810B1"/>
    <w:rsid w:val="003812A7"/>
    <w:rsid w:val="00383467"/>
    <w:rsid w:val="0039074F"/>
    <w:rsid w:val="0039076B"/>
    <w:rsid w:val="00392C0B"/>
    <w:rsid w:val="00394CB7"/>
    <w:rsid w:val="00396D85"/>
    <w:rsid w:val="003A684E"/>
    <w:rsid w:val="003B7786"/>
    <w:rsid w:val="003C1734"/>
    <w:rsid w:val="003C39B4"/>
    <w:rsid w:val="003C4FB3"/>
    <w:rsid w:val="003C60C8"/>
    <w:rsid w:val="003C69C2"/>
    <w:rsid w:val="003C78EB"/>
    <w:rsid w:val="003D0A9D"/>
    <w:rsid w:val="003D1F83"/>
    <w:rsid w:val="003D32A2"/>
    <w:rsid w:val="003D411F"/>
    <w:rsid w:val="003D5E9C"/>
    <w:rsid w:val="003D6B3F"/>
    <w:rsid w:val="003E13FB"/>
    <w:rsid w:val="003E44C4"/>
    <w:rsid w:val="00411D27"/>
    <w:rsid w:val="00412A0F"/>
    <w:rsid w:val="00415750"/>
    <w:rsid w:val="004179B5"/>
    <w:rsid w:val="00422CBC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65FE8"/>
    <w:rsid w:val="00475D28"/>
    <w:rsid w:val="00476176"/>
    <w:rsid w:val="00487CFC"/>
    <w:rsid w:val="00491B4A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2D06"/>
    <w:rsid w:val="005435DD"/>
    <w:rsid w:val="005525DF"/>
    <w:rsid w:val="005642C5"/>
    <w:rsid w:val="0056477D"/>
    <w:rsid w:val="00576313"/>
    <w:rsid w:val="0057796D"/>
    <w:rsid w:val="005916EE"/>
    <w:rsid w:val="005946BD"/>
    <w:rsid w:val="00595357"/>
    <w:rsid w:val="00596035"/>
    <w:rsid w:val="005A0DDE"/>
    <w:rsid w:val="005A3505"/>
    <w:rsid w:val="005A6294"/>
    <w:rsid w:val="005B1F36"/>
    <w:rsid w:val="005B3763"/>
    <w:rsid w:val="005D7AFA"/>
    <w:rsid w:val="005E28AD"/>
    <w:rsid w:val="005E4A4C"/>
    <w:rsid w:val="005F5310"/>
    <w:rsid w:val="00606CD7"/>
    <w:rsid w:val="0062041C"/>
    <w:rsid w:val="006273D1"/>
    <w:rsid w:val="00627E46"/>
    <w:rsid w:val="00640DE2"/>
    <w:rsid w:val="006451EE"/>
    <w:rsid w:val="0065223D"/>
    <w:rsid w:val="006537B0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7F592F"/>
    <w:rsid w:val="00805452"/>
    <w:rsid w:val="008247E1"/>
    <w:rsid w:val="00832926"/>
    <w:rsid w:val="00834374"/>
    <w:rsid w:val="00834907"/>
    <w:rsid w:val="00857C43"/>
    <w:rsid w:val="008602A6"/>
    <w:rsid w:val="008604DE"/>
    <w:rsid w:val="0086620E"/>
    <w:rsid w:val="008671EB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237D3"/>
    <w:rsid w:val="00935A0B"/>
    <w:rsid w:val="00936371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45213"/>
    <w:rsid w:val="00A542DF"/>
    <w:rsid w:val="00A569AC"/>
    <w:rsid w:val="00A57C4D"/>
    <w:rsid w:val="00A64FFC"/>
    <w:rsid w:val="00A6788D"/>
    <w:rsid w:val="00A72D86"/>
    <w:rsid w:val="00A73BF2"/>
    <w:rsid w:val="00A740DD"/>
    <w:rsid w:val="00A74ED1"/>
    <w:rsid w:val="00A754DA"/>
    <w:rsid w:val="00A800F1"/>
    <w:rsid w:val="00A82CA0"/>
    <w:rsid w:val="00A84E06"/>
    <w:rsid w:val="00A931AF"/>
    <w:rsid w:val="00A93A8B"/>
    <w:rsid w:val="00A9748C"/>
    <w:rsid w:val="00AA68AF"/>
    <w:rsid w:val="00AB77F7"/>
    <w:rsid w:val="00AC0E59"/>
    <w:rsid w:val="00AC0F4C"/>
    <w:rsid w:val="00AC4BEB"/>
    <w:rsid w:val="00AC744D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30DF1"/>
    <w:rsid w:val="00B47915"/>
    <w:rsid w:val="00B515E5"/>
    <w:rsid w:val="00B56ABA"/>
    <w:rsid w:val="00B57EB3"/>
    <w:rsid w:val="00B61CC8"/>
    <w:rsid w:val="00B63EC3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0C4"/>
    <w:rsid w:val="00BD27DE"/>
    <w:rsid w:val="00BD2A42"/>
    <w:rsid w:val="00BD2F2E"/>
    <w:rsid w:val="00BE15F1"/>
    <w:rsid w:val="00BE1C92"/>
    <w:rsid w:val="00BF0EF3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2C7E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B43"/>
    <w:rsid w:val="00CB1EEC"/>
    <w:rsid w:val="00CB20B2"/>
    <w:rsid w:val="00CB4DBA"/>
    <w:rsid w:val="00CB6DBE"/>
    <w:rsid w:val="00CC01F0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048B3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6192F"/>
    <w:rsid w:val="00D74603"/>
    <w:rsid w:val="00D8539B"/>
    <w:rsid w:val="00D87E5E"/>
    <w:rsid w:val="00D9185D"/>
    <w:rsid w:val="00D979BB"/>
    <w:rsid w:val="00DA21E7"/>
    <w:rsid w:val="00DA2466"/>
    <w:rsid w:val="00DA3045"/>
    <w:rsid w:val="00DA3A1D"/>
    <w:rsid w:val="00DA4E19"/>
    <w:rsid w:val="00DA4F0F"/>
    <w:rsid w:val="00DB51F0"/>
    <w:rsid w:val="00DB5793"/>
    <w:rsid w:val="00DC0CB5"/>
    <w:rsid w:val="00DC20CD"/>
    <w:rsid w:val="00DD0FA7"/>
    <w:rsid w:val="00DD269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0566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9BC6517D-04C4-4C52-8361-4D09ED72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  <w:style w:type="paragraph" w:customStyle="1" w:styleId="Styl1">
    <w:name w:val="Styl1"/>
    <w:basedOn w:val="af5"/>
    <w:rsid w:val="00CB1B43"/>
    <w:pPr>
      <w:spacing w:after="0" w:line="360" w:lineRule="auto"/>
      <w:ind w:left="357"/>
    </w:pPr>
    <w:rPr>
      <w:rFonts w:cs="Arial"/>
      <w:kern w:val="0"/>
      <w:sz w:val="24"/>
      <w:szCs w:val="20"/>
      <w:lang w:eastAsia="cs-CZ"/>
    </w:rPr>
  </w:style>
  <w:style w:type="paragraph" w:styleId="af5">
    <w:name w:val="Body Text Indent"/>
    <w:basedOn w:val="a"/>
    <w:link w:val="af6"/>
    <w:semiHidden/>
    <w:unhideWhenUsed/>
    <w:rsid w:val="00CB1B4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CB1B43"/>
    <w:rPr>
      <w:rFonts w:ascii="Arial" w:hAnsi="Arial"/>
      <w:kern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62BCD5-5BB4-4051-A50B-07D6050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8</Pages>
  <Words>1397</Words>
  <Characters>7967</Characters>
  <Application>Microsoft Office Word</Application>
  <DocSecurity>0</DocSecurity>
  <Lines>66</Lines>
  <Paragraphs>18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Iliassowa, Swetlana (VW Group Rus)</dc:creator>
  <cp:keywords/>
  <dc:description/>
  <cp:lastModifiedBy>Gamalinskij Evgenij</cp:lastModifiedBy>
  <cp:revision>2</cp:revision>
  <cp:lastPrinted>2021-08-23T13:56:00Z</cp:lastPrinted>
  <dcterms:created xsi:type="dcterms:W3CDTF">2024-10-21T13:42:00Z</dcterms:created>
  <dcterms:modified xsi:type="dcterms:W3CDTF">2024-10-21T13:42:00Z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