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11065" w14:textId="77777777" w:rsidR="006447ED" w:rsidRPr="00BC6F52" w:rsidRDefault="00BC6F52" w:rsidP="005E0FE4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BC6F52">
        <w:rPr>
          <w:rFonts w:eastAsia="Times New Roman" w:cstheme="minorHAnsi"/>
          <w:b/>
          <w:bCs/>
          <w:sz w:val="28"/>
          <w:szCs w:val="28"/>
          <w:lang w:eastAsia="ru-RU"/>
        </w:rPr>
        <w:t>Бизнес-потребность</w:t>
      </w:r>
      <w:r w:rsidR="006447ED" w:rsidRPr="00BC6F52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</w:p>
    <w:p w14:paraId="115932A0" w14:textId="69C1A89D" w:rsidR="00B82009" w:rsidRPr="000E5BA0" w:rsidRDefault="00A51651" w:rsidP="00B82009">
      <w:pPr>
        <w:pStyle w:val="a9"/>
        <w:rPr>
          <w:rFonts w:eastAsia="Times New Roman" w:cstheme="minorHAnsi"/>
          <w:sz w:val="24"/>
          <w:szCs w:val="24"/>
          <w:lang w:eastAsia="ru-RU"/>
        </w:rPr>
      </w:pPr>
      <w:r w:rsidRPr="000E5BA0">
        <w:rPr>
          <w:rFonts w:eastAsia="Times New Roman" w:cstheme="minorHAnsi"/>
          <w:sz w:val="24"/>
          <w:szCs w:val="24"/>
          <w:lang w:eastAsia="ru-RU"/>
        </w:rPr>
        <w:t>О</w:t>
      </w:r>
      <w:r w:rsidR="00B82009" w:rsidRPr="000E5BA0">
        <w:rPr>
          <w:rFonts w:eastAsia="Times New Roman" w:cstheme="minorHAnsi"/>
          <w:sz w:val="24"/>
          <w:szCs w:val="24"/>
          <w:lang w:eastAsia="ru-RU"/>
        </w:rPr>
        <w:t xml:space="preserve">пыт работы с дизайн-подрядчиком в 2023 году, </w:t>
      </w:r>
      <w:r w:rsidRPr="000E5BA0">
        <w:rPr>
          <w:rFonts w:eastAsia="Times New Roman" w:cstheme="minorHAnsi"/>
          <w:sz w:val="24"/>
          <w:szCs w:val="24"/>
          <w:lang w:eastAsia="ru-RU"/>
        </w:rPr>
        <w:t>показал</w:t>
      </w:r>
      <w:r w:rsidR="00B82009" w:rsidRPr="000E5BA0">
        <w:rPr>
          <w:rFonts w:eastAsia="Times New Roman" w:cstheme="minorHAnsi"/>
          <w:sz w:val="24"/>
          <w:szCs w:val="24"/>
          <w:lang w:eastAsia="ru-RU"/>
        </w:rPr>
        <w:t xml:space="preserve"> необходимость масштабирования команды при появлени</w:t>
      </w:r>
      <w:r w:rsidRPr="000E5BA0">
        <w:rPr>
          <w:rFonts w:eastAsia="Times New Roman" w:cstheme="minorHAnsi"/>
          <w:sz w:val="24"/>
          <w:szCs w:val="24"/>
          <w:lang w:eastAsia="ru-RU"/>
        </w:rPr>
        <w:t>и</w:t>
      </w:r>
      <w:r w:rsidR="00B82009" w:rsidRPr="000E5BA0">
        <w:rPr>
          <w:rFonts w:eastAsia="Times New Roman" w:cstheme="minorHAnsi"/>
          <w:sz w:val="24"/>
          <w:szCs w:val="24"/>
          <w:lang w:eastAsia="ru-RU"/>
        </w:rPr>
        <w:t xml:space="preserve"> специфических/объемных запросов, которые бы расходовали ресурс ДЦ в пользу одних БЕ и без ущерба другим.</w:t>
      </w:r>
    </w:p>
    <w:p w14:paraId="3759BCCE" w14:textId="77777777" w:rsidR="006447ED" w:rsidRPr="006447ED" w:rsidRDefault="006447ED" w:rsidP="005E0FE4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sz w:val="24"/>
          <w:szCs w:val="24"/>
          <w:lang w:eastAsia="ru-RU"/>
        </w:rPr>
      </w:pPr>
      <w:r w:rsidRPr="006447ED">
        <w:rPr>
          <w:rFonts w:eastAsia="Times New Roman" w:cstheme="minorHAnsi"/>
          <w:sz w:val="24"/>
          <w:szCs w:val="24"/>
          <w:lang w:eastAsia="ru-RU"/>
        </w:rPr>
        <w:t>Чтобы обеспечить необходимую дизайн-поддержку Департамента маркетинга в любой момент, требуется выбрать Поставщика услуг по дизайн сопровождению, который мог бы</w:t>
      </w:r>
      <w:r w:rsidR="0016291E">
        <w:rPr>
          <w:rFonts w:eastAsia="Times New Roman" w:cstheme="minorHAnsi"/>
          <w:sz w:val="24"/>
          <w:szCs w:val="24"/>
          <w:lang w:eastAsia="ru-RU"/>
        </w:rPr>
        <w:t xml:space="preserve"> в течение года</w:t>
      </w:r>
      <w:r w:rsidRPr="006447ED">
        <w:rPr>
          <w:rFonts w:eastAsia="Times New Roman" w:cstheme="minorHAnsi"/>
          <w:sz w:val="24"/>
          <w:szCs w:val="24"/>
          <w:lang w:eastAsia="ru-RU"/>
        </w:rPr>
        <w:t xml:space="preserve"> выполнять задачи на том же уровне и с той же скоростью, как если бы являлся частью внутренней команды</w:t>
      </w:r>
      <w:r w:rsidRPr="00BC6F52">
        <w:rPr>
          <w:rFonts w:eastAsia="Times New Roman" w:cstheme="minorHAnsi"/>
          <w:sz w:val="24"/>
          <w:szCs w:val="24"/>
          <w:lang w:eastAsia="ru-RU"/>
        </w:rPr>
        <w:t xml:space="preserve"> Заказчика</w:t>
      </w:r>
      <w:r w:rsidRPr="006447ED">
        <w:rPr>
          <w:rFonts w:eastAsia="Times New Roman" w:cstheme="minorHAnsi"/>
          <w:sz w:val="24"/>
          <w:szCs w:val="24"/>
          <w:lang w:eastAsia="ru-RU"/>
        </w:rPr>
        <w:t>.</w:t>
      </w:r>
    </w:p>
    <w:p w14:paraId="08AD0A60" w14:textId="77777777" w:rsidR="006447ED" w:rsidRPr="006447ED" w:rsidRDefault="006447ED" w:rsidP="005E0FE4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sz w:val="24"/>
          <w:szCs w:val="24"/>
          <w:lang w:eastAsia="ru-RU"/>
        </w:rPr>
      </w:pPr>
      <w:r w:rsidRPr="006447ED">
        <w:rPr>
          <w:rFonts w:eastAsia="Times New Roman" w:cstheme="minorHAnsi"/>
          <w:sz w:val="24"/>
          <w:szCs w:val="24"/>
          <w:lang w:eastAsia="ru-RU"/>
        </w:rPr>
        <w:t xml:space="preserve">Кроме основного Поставщика планируем </w:t>
      </w:r>
      <w:r w:rsidR="0016291E">
        <w:rPr>
          <w:rFonts w:eastAsia="Times New Roman" w:cstheme="minorHAnsi"/>
          <w:sz w:val="24"/>
          <w:szCs w:val="24"/>
          <w:lang w:eastAsia="ru-RU"/>
        </w:rPr>
        <w:t>утвердить</w:t>
      </w:r>
      <w:r w:rsidRPr="006447ED">
        <w:rPr>
          <w:rFonts w:eastAsia="Times New Roman" w:cstheme="minorHAnsi"/>
          <w:sz w:val="24"/>
          <w:szCs w:val="24"/>
          <w:lang w:eastAsia="ru-RU"/>
        </w:rPr>
        <w:t xml:space="preserve"> одного-двух резервных на случай, если основной Поставщик не сможет справиться со всем объёмом работ.</w:t>
      </w:r>
    </w:p>
    <w:p w14:paraId="7173A8B0" w14:textId="77777777" w:rsidR="006447ED" w:rsidRPr="006447ED" w:rsidRDefault="006447ED" w:rsidP="005E0FE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BC6F52">
        <w:rPr>
          <w:rFonts w:eastAsia="Times New Roman" w:cstheme="minorHAnsi"/>
          <w:b/>
          <w:bCs/>
          <w:sz w:val="28"/>
          <w:szCs w:val="28"/>
          <w:lang w:eastAsia="ru-RU"/>
        </w:rPr>
        <w:t>Заказчик:</w:t>
      </w:r>
    </w:p>
    <w:p w14:paraId="7D1B6165" w14:textId="77777777" w:rsidR="006447ED" w:rsidRPr="006447ED" w:rsidRDefault="006447ED" w:rsidP="005E0FE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BC6F52">
        <w:rPr>
          <w:rFonts w:eastAsia="Times New Roman" w:cstheme="minorHAnsi"/>
          <w:b/>
          <w:bCs/>
          <w:sz w:val="24"/>
          <w:szCs w:val="24"/>
          <w:lang w:eastAsia="ru-RU"/>
        </w:rPr>
        <w:t>Группа «Иннотех»</w:t>
      </w:r>
    </w:p>
    <w:p w14:paraId="1E744A77" w14:textId="4B22FAE3" w:rsidR="00E07991" w:rsidRPr="00BC6F52" w:rsidRDefault="009724F7" w:rsidP="005E0FE4">
      <w:pPr>
        <w:spacing w:line="276" w:lineRule="auto"/>
        <w:contextualSpacing/>
        <w:jc w:val="both"/>
        <w:rPr>
          <w:rFonts w:eastAsia="SimSun" w:cstheme="minorHAnsi"/>
          <w:sz w:val="24"/>
          <w:szCs w:val="24"/>
        </w:rPr>
      </w:pPr>
      <w:r w:rsidRPr="006447ED">
        <w:rPr>
          <w:rFonts w:eastAsia="Times New Roman" w:cstheme="minorHAnsi"/>
          <w:sz w:val="24"/>
          <w:szCs w:val="24"/>
          <w:lang w:eastAsia="ru-RU"/>
        </w:rPr>
        <w:t>Группа «Иннотех»</w:t>
      </w:r>
      <w:r w:rsidR="000E5BA0">
        <w:rPr>
          <w:rFonts w:eastAsia="Times New Roman" w:cstheme="minorHAnsi"/>
          <w:sz w:val="24"/>
          <w:szCs w:val="24"/>
          <w:lang w:eastAsia="ru-RU"/>
        </w:rPr>
        <w:t xml:space="preserve"> (Входит в Холдинг Т1) </w:t>
      </w:r>
      <w:r w:rsidR="00AF4CDB" w:rsidRPr="00BC6F52">
        <w:rPr>
          <w:rFonts w:eastAsia="SimSun" w:cstheme="minorHAnsi"/>
          <w:sz w:val="24"/>
          <w:szCs w:val="24"/>
        </w:rPr>
        <w:t>— это</w:t>
      </w:r>
      <w:r w:rsidR="00E07991" w:rsidRPr="00BC6F52">
        <w:rPr>
          <w:rFonts w:eastAsia="SimSun" w:cstheme="minorHAnsi"/>
          <w:sz w:val="24"/>
          <w:szCs w:val="24"/>
        </w:rPr>
        <w:t xml:space="preserve"> современная высокотехнологичная быстроразвивающаяся компания. C 2020 года мы разрабатываем инновационные решения для цифровизации банковской отрасли. Мы сотрудничаем с крупнейшими банковскими организациями в России, а также активно выстраиваем партнерскую работу на Ближнем Востоке, в Африке и в Юго-Восточной Азии.</w:t>
      </w:r>
    </w:p>
    <w:p w14:paraId="6E598AEC" w14:textId="77777777" w:rsidR="00E07991" w:rsidRPr="00BC6F52" w:rsidRDefault="00E07991" w:rsidP="005E0FE4">
      <w:pPr>
        <w:spacing w:line="276" w:lineRule="auto"/>
        <w:contextualSpacing/>
        <w:jc w:val="both"/>
        <w:rPr>
          <w:rFonts w:eastAsia="SimSun" w:cstheme="minorHAnsi"/>
          <w:sz w:val="24"/>
          <w:szCs w:val="24"/>
        </w:rPr>
      </w:pPr>
      <w:r w:rsidRPr="00BC6F52">
        <w:rPr>
          <w:rFonts w:eastAsia="SimSun" w:cstheme="minorHAnsi"/>
          <w:sz w:val="24"/>
          <w:szCs w:val="24"/>
        </w:rPr>
        <w:t xml:space="preserve">Мы создаем современные высоконагруженные фронтальные системы, </w:t>
      </w:r>
      <w:proofErr w:type="spellStart"/>
      <w:r w:rsidRPr="00BC6F52">
        <w:rPr>
          <w:rFonts w:eastAsia="SimSun" w:cstheme="minorHAnsi"/>
          <w:sz w:val="24"/>
          <w:szCs w:val="24"/>
        </w:rPr>
        <w:t>омниканальные</w:t>
      </w:r>
      <w:proofErr w:type="spellEnd"/>
      <w:r w:rsidRPr="00BC6F52">
        <w:rPr>
          <w:rFonts w:eastAsia="SimSun" w:cstheme="minorHAnsi"/>
          <w:sz w:val="24"/>
          <w:szCs w:val="24"/>
        </w:rPr>
        <w:t xml:space="preserve"> продукты и высоконадежные платформы для поддержки банковского бизнеса. Мы помогаем выводить клиентский опыт на новый уровень, внедряя AI-технологии в банковские продукты. Для создания новых и совершенствования существующих мобильных решений мы используем современные технологии разработки программного обеспечения, доказавшие свою безопасность и эффективность.</w:t>
      </w:r>
    </w:p>
    <w:p w14:paraId="7C337BD0" w14:textId="77777777" w:rsidR="00E07991" w:rsidRPr="00BC6F52" w:rsidRDefault="00E07991" w:rsidP="005E0FE4">
      <w:pPr>
        <w:spacing w:line="276" w:lineRule="auto"/>
        <w:contextualSpacing/>
        <w:jc w:val="both"/>
        <w:rPr>
          <w:rFonts w:eastAsia="SimSun" w:cstheme="minorHAnsi"/>
          <w:sz w:val="24"/>
          <w:szCs w:val="24"/>
        </w:rPr>
      </w:pPr>
      <w:r w:rsidRPr="00BC6F52">
        <w:rPr>
          <w:rFonts w:eastAsia="SimSun" w:cstheme="minorHAnsi"/>
          <w:sz w:val="24"/>
          <w:szCs w:val="24"/>
        </w:rPr>
        <w:t>Мы помогаем банкам в реализации цифровой трансформации без необходимости замены IT-инфраструктуры.</w:t>
      </w:r>
    </w:p>
    <w:p w14:paraId="5E21D2F9" w14:textId="77777777" w:rsidR="006447ED" w:rsidRPr="006447ED" w:rsidRDefault="006447ED" w:rsidP="005E0FE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447ED">
        <w:rPr>
          <w:rFonts w:eastAsia="Times New Roman" w:cstheme="minorHAnsi"/>
          <w:sz w:val="24"/>
          <w:szCs w:val="24"/>
          <w:lang w:eastAsia="ru-RU"/>
        </w:rPr>
        <w:t xml:space="preserve">Сайт Группы «Иннотех»: </w:t>
      </w:r>
      <w:hyperlink r:id="rId5" w:history="1">
        <w:r w:rsidRPr="00BC6F52">
          <w:rPr>
            <w:rFonts w:eastAsia="Times New Roman" w:cstheme="minorHAnsi"/>
            <w:color w:val="0000FF"/>
            <w:sz w:val="24"/>
            <w:szCs w:val="24"/>
            <w:u w:val="single"/>
            <w:lang w:eastAsia="ru-RU"/>
          </w:rPr>
          <w:t>https://inno.tech/ru/</w:t>
        </w:r>
      </w:hyperlink>
    </w:p>
    <w:p w14:paraId="46D6751D" w14:textId="035BBF3B" w:rsidR="000E5BA0" w:rsidRDefault="000E5BA0" w:rsidP="005E0FE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Холдинг Т1</w:t>
      </w:r>
    </w:p>
    <w:p w14:paraId="7C8FE001" w14:textId="17FFAE82" w:rsidR="006447ED" w:rsidRPr="006447ED" w:rsidRDefault="006447ED" w:rsidP="005E0FE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447ED">
        <w:rPr>
          <w:rFonts w:eastAsia="Times New Roman" w:cstheme="minorHAnsi"/>
          <w:sz w:val="24"/>
          <w:szCs w:val="24"/>
          <w:lang w:eastAsia="ru-RU"/>
        </w:rPr>
        <w:t xml:space="preserve">Многопрофильный холдинг, один из лидеров российского ИТ-рынка, является партнером ключевых мировых и отечественных производителей и разработчиков. Компании группы начинают историю с 1992 года. Компании группы предоставляют полный спектр ИТ-услуг для реализации высокотехнологичных проектов с учетом отраслевой специфики заказчиков. В состав холдинга входят компании Т1 Интеграция, Т1 Консалтинг, Т1 </w:t>
      </w:r>
      <w:proofErr w:type="spellStart"/>
      <w:r w:rsidRPr="006447ED">
        <w:rPr>
          <w:rFonts w:eastAsia="Times New Roman" w:cstheme="minorHAnsi"/>
          <w:sz w:val="24"/>
          <w:szCs w:val="24"/>
          <w:lang w:eastAsia="ru-RU"/>
        </w:rPr>
        <w:t>Cloud</w:t>
      </w:r>
      <w:proofErr w:type="spellEnd"/>
      <w:r w:rsidRPr="006447ED">
        <w:rPr>
          <w:rFonts w:eastAsia="Times New Roman" w:cstheme="minorHAnsi"/>
          <w:sz w:val="24"/>
          <w:szCs w:val="24"/>
          <w:lang w:eastAsia="ru-RU"/>
        </w:rPr>
        <w:t xml:space="preserve">, Иннотех, Дататех, </w:t>
      </w:r>
      <w:proofErr w:type="spellStart"/>
      <w:r w:rsidRPr="006447ED">
        <w:rPr>
          <w:rFonts w:eastAsia="Times New Roman" w:cstheme="minorHAnsi"/>
          <w:sz w:val="24"/>
          <w:szCs w:val="24"/>
          <w:lang w:eastAsia="ru-RU"/>
        </w:rPr>
        <w:t>Мультикарта</w:t>
      </w:r>
      <w:proofErr w:type="spellEnd"/>
      <w:r w:rsidRPr="006447ED">
        <w:rPr>
          <w:rFonts w:eastAsia="Times New Roman" w:cstheme="minorHAnsi"/>
          <w:sz w:val="24"/>
          <w:szCs w:val="24"/>
          <w:lang w:eastAsia="ru-RU"/>
        </w:rPr>
        <w:t xml:space="preserve"> и Сервионика. Они обладают профессиональной экспертизой в области системной интеграции, консалтинга, разработки ПО на заказ, Big Data и машинного обучения, информационной безопасности, роботизации рутинных операций, процессной аналитики Process Mining, Интернета вещей. Компетенции группы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 Среди заказчиков Т1 — государственные </w:t>
      </w:r>
      <w:r w:rsidRPr="006447ED">
        <w:rPr>
          <w:rFonts w:eastAsia="Times New Roman" w:cstheme="minorHAnsi"/>
          <w:sz w:val="24"/>
          <w:szCs w:val="24"/>
          <w:lang w:eastAsia="ru-RU"/>
        </w:rPr>
        <w:lastRenderedPageBreak/>
        <w:t>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3691763B" w14:textId="0FEDECE6" w:rsidR="000A42CA" w:rsidRDefault="000A42CA" w:rsidP="005E0FE4">
      <w:pPr>
        <w:pStyle w:val="2"/>
        <w:shd w:val="clear" w:color="auto" w:fill="FFFFFF"/>
        <w:spacing w:before="450"/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</w:rPr>
      </w:pPr>
      <w:r w:rsidRPr="00BC6F52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</w:rPr>
        <w:t>Требования к агентству</w:t>
      </w:r>
      <w:r w:rsidR="00D6165E">
        <w:rPr>
          <w:rFonts w:asciiTheme="minorHAnsi" w:hAnsiTheme="minorHAnsi" w:cstheme="minorHAnsi"/>
          <w:b/>
          <w:bCs/>
          <w:color w:val="auto"/>
          <w:spacing w:val="-2"/>
          <w:sz w:val="28"/>
          <w:szCs w:val="28"/>
        </w:rPr>
        <w:t>:</w:t>
      </w:r>
    </w:p>
    <w:p w14:paraId="35A5F066" w14:textId="77777777" w:rsidR="002E0BF7" w:rsidRPr="002E0BF7" w:rsidRDefault="002E0BF7" w:rsidP="002E0BF7"/>
    <w:p w14:paraId="6BEFA350" w14:textId="201C4BE2" w:rsidR="00C53B93" w:rsidRPr="00C62FBF" w:rsidRDefault="002E0BF7" w:rsidP="002E0BF7">
      <w:pPr>
        <w:pStyle w:val="ad"/>
        <w:numPr>
          <w:ilvl w:val="0"/>
          <w:numId w:val="30"/>
        </w:numPr>
        <w:ind w:left="426"/>
        <w:rPr>
          <w:color w:val="000000" w:themeColor="text1"/>
        </w:rPr>
      </w:pPr>
      <w:r w:rsidRPr="00C62FBF">
        <w:rPr>
          <w:color w:val="000000" w:themeColor="text1"/>
        </w:rPr>
        <w:t xml:space="preserve">В процессе работы над проектом Заказчик может вносить правки/комментарии к просчетам агентств, данная функция не может влиять на первоначальный просчет проекта Исполнителем. При условии, если со стороны Исполнителя представленный им просчет был выполнен не в соответствии изначально поданного технического задания или требованиям проекта Заказчика. </w:t>
      </w:r>
    </w:p>
    <w:p w14:paraId="5CE34B3B" w14:textId="247391D7" w:rsidR="002E0BF7" w:rsidRPr="00C62FBF" w:rsidRDefault="002E0BF7" w:rsidP="002E0BF7">
      <w:pPr>
        <w:pStyle w:val="ad"/>
        <w:numPr>
          <w:ilvl w:val="0"/>
          <w:numId w:val="30"/>
        </w:numPr>
        <w:ind w:left="426"/>
        <w:rPr>
          <w:color w:val="000000" w:themeColor="text1"/>
        </w:rPr>
      </w:pPr>
      <w:r w:rsidRPr="00C62FBF">
        <w:rPr>
          <w:color w:val="000000" w:themeColor="text1"/>
        </w:rPr>
        <w:t xml:space="preserve">Исполнитель вправе отказаться от оказания услуг по проекту в течении 24 часов, после получения письма от Заказчика. Максимальное количество отказов от Исполнителя не может превышать 5 (пяти) раз в течении действия договора. При получении большего количества отказов от Исполнителя, договор с контрагентом (Исполнителем) может быть расторгнут по инициативе Заказчика. </w:t>
      </w:r>
    </w:p>
    <w:p w14:paraId="0571969F" w14:textId="2D9AD427" w:rsidR="000A42CA" w:rsidRPr="002E0BF7" w:rsidRDefault="000A42CA" w:rsidP="002E0BF7">
      <w:pPr>
        <w:pStyle w:val="a3"/>
        <w:numPr>
          <w:ilvl w:val="0"/>
          <w:numId w:val="30"/>
        </w:numPr>
        <w:shd w:val="clear" w:color="auto" w:fill="FFFFFF"/>
        <w:spacing w:before="150" w:beforeAutospacing="0" w:after="0" w:afterAutospacing="0"/>
        <w:ind w:left="426"/>
        <w:rPr>
          <w:rFonts w:asciiTheme="minorHAnsi" w:hAnsiTheme="minorHAnsi" w:cstheme="minorHAnsi"/>
          <w:sz w:val="22"/>
          <w:szCs w:val="22"/>
          <w:u w:val="single"/>
        </w:rPr>
      </w:pPr>
      <w:r w:rsidRPr="002E0BF7">
        <w:rPr>
          <w:rFonts w:asciiTheme="minorHAnsi" w:hAnsiTheme="minorHAnsi" w:cstheme="minorHAnsi"/>
          <w:sz w:val="22"/>
          <w:szCs w:val="22"/>
          <w:u w:val="single"/>
        </w:rPr>
        <w:t>Наличие специалистов и их прогнозируемая загрузка</w:t>
      </w:r>
      <w:r w:rsidR="00AF4CDB" w:rsidRPr="002E0BF7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71ABF56D" w14:textId="77777777" w:rsidR="00AF4CDB" w:rsidRPr="00AF4CDB" w:rsidRDefault="00AF4CDB" w:rsidP="005E0FE4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tbl>
      <w:tblPr>
        <w:tblW w:w="10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4489"/>
        <w:gridCol w:w="1984"/>
        <w:gridCol w:w="1701"/>
      </w:tblGrid>
      <w:tr w:rsidR="00BC6F52" w14:paraId="3F352F50" w14:textId="77777777" w:rsidTr="00F332F0">
        <w:trPr>
          <w:tblHeader/>
        </w:trPr>
        <w:tc>
          <w:tcPr>
            <w:tcW w:w="216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CF3421E" w14:textId="77777777" w:rsidR="000A42CA" w:rsidRPr="00F4339A" w:rsidRDefault="000A42CA" w:rsidP="005E0FE4">
            <w:pPr>
              <w:rPr>
                <w:rFonts w:ascii="Times New Roman" w:hAnsi="Times New Roman" w:cs="Times New Roman"/>
                <w:b/>
                <w:bCs/>
                <w:color w:val="172B4D"/>
                <w:sz w:val="24"/>
                <w:szCs w:val="24"/>
              </w:rPr>
            </w:pPr>
            <w:r w:rsidRPr="00F4339A">
              <w:rPr>
                <w:b/>
                <w:bCs/>
                <w:color w:val="172B4D"/>
              </w:rPr>
              <w:t>Специалист</w:t>
            </w:r>
          </w:p>
        </w:tc>
        <w:tc>
          <w:tcPr>
            <w:tcW w:w="44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B3C6BEA" w14:textId="2EA3DF4C" w:rsidR="000A42CA" w:rsidRPr="00E360E1" w:rsidRDefault="000A42CA" w:rsidP="00E360E1">
            <w:pPr>
              <w:ind w:left="-55"/>
              <w:rPr>
                <w:b/>
                <w:bCs/>
                <w:color w:val="172B4D"/>
              </w:rPr>
            </w:pPr>
            <w:r w:rsidRPr="00E360E1">
              <w:rPr>
                <w:b/>
                <w:bCs/>
                <w:color w:val="172B4D"/>
              </w:rPr>
              <w:t>Роль</w:t>
            </w:r>
            <w:r w:rsidR="00E360E1">
              <w:rPr>
                <w:b/>
                <w:bCs/>
                <w:color w:val="172B4D"/>
              </w:rPr>
              <w:t>/функционал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804C2F4" w14:textId="77777777" w:rsidR="000A42CA" w:rsidRDefault="000A42CA" w:rsidP="005E0FE4">
            <w:pPr>
              <w:rPr>
                <w:b/>
                <w:bCs/>
                <w:color w:val="172B4D"/>
              </w:rPr>
            </w:pPr>
            <w:r>
              <w:rPr>
                <w:b/>
                <w:bCs/>
                <w:color w:val="172B4D"/>
              </w:rPr>
              <w:t>Загрузка</w:t>
            </w:r>
          </w:p>
        </w:tc>
        <w:tc>
          <w:tcPr>
            <w:tcW w:w="170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9B7E768" w14:textId="77777777" w:rsidR="000A42CA" w:rsidRDefault="000A42CA" w:rsidP="00F332F0">
            <w:pPr>
              <w:rPr>
                <w:b/>
                <w:bCs/>
                <w:color w:val="172B4D"/>
              </w:rPr>
            </w:pPr>
            <w:r>
              <w:rPr>
                <w:b/>
                <w:bCs/>
                <w:color w:val="172B4D"/>
              </w:rPr>
              <w:t>Годовой прогноз по загрузке, часов</w:t>
            </w:r>
          </w:p>
        </w:tc>
      </w:tr>
      <w:tr w:rsidR="00BC6F52" w:rsidRPr="00F332F0" w14:paraId="0E54C4CC" w14:textId="77777777" w:rsidTr="00F332F0">
        <w:tc>
          <w:tcPr>
            <w:tcW w:w="216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64E22E" w14:textId="77777777" w:rsidR="000A42CA" w:rsidRPr="00F4339A" w:rsidRDefault="000A42CA" w:rsidP="005E0FE4">
            <w:pPr>
              <w:rPr>
                <w:b/>
                <w:bCs/>
              </w:rPr>
            </w:pPr>
            <w:r w:rsidRPr="00F4339A">
              <w:rPr>
                <w:b/>
                <w:bCs/>
              </w:rPr>
              <w:t>Менеджер проекта или дизайн-лид</w:t>
            </w:r>
          </w:p>
        </w:tc>
        <w:tc>
          <w:tcPr>
            <w:tcW w:w="44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45045C" w14:textId="78C24232" w:rsidR="00F332F0" w:rsidRDefault="00F332F0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Е</w:t>
            </w:r>
            <w:r w:rsidR="000A42CA">
              <w:t>дин</w:t>
            </w:r>
            <w:r>
              <w:t>ая</w:t>
            </w:r>
            <w:r w:rsidR="000A42CA">
              <w:t xml:space="preserve"> точк</w:t>
            </w:r>
            <w:r>
              <w:t>а</w:t>
            </w:r>
            <w:r w:rsidR="000A42CA">
              <w:t xml:space="preserve"> входа для задач от Т1 (канал для входа – </w:t>
            </w:r>
            <w:r>
              <w:rPr>
                <w:lang w:val="en-US"/>
              </w:rPr>
              <w:t>Jira</w:t>
            </w:r>
            <w:r w:rsidRPr="00F332F0">
              <w:t xml:space="preserve"> </w:t>
            </w:r>
            <w:r>
              <w:rPr>
                <w:lang w:val="en-US"/>
              </w:rPr>
              <w:t>DSGN</w:t>
            </w:r>
            <w:r w:rsidR="00782658">
              <w:t xml:space="preserve"> Т1 +</w:t>
            </w:r>
            <w:r>
              <w:t xml:space="preserve"> </w:t>
            </w:r>
            <w:r w:rsidR="00782658">
              <w:t>поддержка коммуникаци</w:t>
            </w:r>
            <w:r w:rsidR="00E360E1">
              <w:t>и</w:t>
            </w:r>
            <w:r w:rsidR="00782658">
              <w:t xml:space="preserve"> через ТГ</w:t>
            </w:r>
            <w:r w:rsidRPr="00F332F0">
              <w:t xml:space="preserve">, </w:t>
            </w:r>
            <w:r>
              <w:t>вся коммуникация проходит исключительно через представителя Дизайн-центра Т1</w:t>
            </w:r>
            <w:r w:rsidR="00782658">
              <w:t>)</w:t>
            </w:r>
          </w:p>
          <w:p w14:paraId="75020595" w14:textId="039EEBAB" w:rsidR="00F332F0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Помощь в решении любых возникающих в ходе работы проблем</w:t>
            </w:r>
          </w:p>
          <w:p w14:paraId="73C42394" w14:textId="77777777" w:rsidR="00782658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Решение административных вопросов, ЭДО</w:t>
            </w:r>
          </w:p>
          <w:p w14:paraId="4695E019" w14:textId="33E0D431" w:rsidR="000A42CA" w:rsidRDefault="00F332F0" w:rsidP="00F332F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 xml:space="preserve">Реакция на запрос в течение часа в </w:t>
            </w:r>
            <w:r w:rsidR="003F08B7">
              <w:t>период 09:00</w:t>
            </w:r>
            <w:r>
              <w:t>–23:00 в рабочие и выходные дни — о</w:t>
            </w:r>
            <w:r w:rsidR="000A42CA">
              <w:t>братная связь по наличию ресурсов</w:t>
            </w:r>
            <w:r w:rsidR="00782658">
              <w:t>, предварительный расч</w:t>
            </w:r>
            <w:r>
              <w:t>ё</w:t>
            </w:r>
            <w:r w:rsidR="00782658">
              <w:t>т ресурсов и стоимости задачи</w:t>
            </w:r>
          </w:p>
          <w:p w14:paraId="7EC2F851" w14:textId="77777777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Контроль сроков выполнения задач</w:t>
            </w:r>
          </w:p>
          <w:p w14:paraId="18BD4872" w14:textId="793A3E31" w:rsidR="00782658" w:rsidRDefault="00782658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Ведение тасков</w:t>
            </w:r>
            <w:r w:rsidR="00F332F0">
              <w:t xml:space="preserve"> (тех, что находится в работе у </w:t>
            </w:r>
            <w:r w:rsidR="002E0BF7">
              <w:t>агентства</w:t>
            </w:r>
            <w:r w:rsidR="00F332F0">
              <w:t>)</w:t>
            </w:r>
            <w:r>
              <w:t xml:space="preserve"> в Джире</w:t>
            </w:r>
            <w:r w:rsidR="00F332F0">
              <w:t xml:space="preserve">: </w:t>
            </w:r>
            <w:r>
              <w:t xml:space="preserve">предварительная оценка времени, фактически затраченное время, статус в комментариях по процессу </w:t>
            </w:r>
            <w:r w:rsidR="00F332F0">
              <w:t>(</w:t>
            </w:r>
            <w:r>
              <w:t>внутренний и для заказчика</w:t>
            </w:r>
            <w:r w:rsidR="00F332F0">
              <w:t>)</w:t>
            </w:r>
            <w:r>
              <w:t>, прикрепление актуальных рабочих</w:t>
            </w:r>
            <w:r w:rsidR="00F332F0">
              <w:t xml:space="preserve"> материалов</w:t>
            </w:r>
            <w:r>
              <w:t xml:space="preserve"> и финальных файлов</w:t>
            </w:r>
          </w:p>
          <w:p w14:paraId="68CCA255" w14:textId="77777777" w:rsidR="00F332F0" w:rsidRDefault="00782658" w:rsidP="00F332F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 xml:space="preserve">Предварительное согласование </w:t>
            </w:r>
            <w:r w:rsidR="0026338C">
              <w:t>макетов с Дизайн-центром до отправки заказчику</w:t>
            </w:r>
          </w:p>
          <w:p w14:paraId="429BB654" w14:textId="40658EA0" w:rsidR="0026338C" w:rsidRDefault="0026338C" w:rsidP="00F332F0">
            <w:pPr>
              <w:spacing w:before="100" w:beforeAutospacing="1" w:after="100" w:afterAutospacing="1" w:line="240" w:lineRule="auto"/>
              <w:ind w:left="228"/>
            </w:pP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AE9432" w14:textId="7D929781" w:rsidR="000A42CA" w:rsidRDefault="000A42CA" w:rsidP="005E0FE4">
            <w:pPr>
              <w:spacing w:after="0"/>
            </w:pPr>
            <w:r>
              <w:t xml:space="preserve">Ежедневная, </w:t>
            </w:r>
            <w:r w:rsidR="00F332F0">
              <w:br/>
            </w:r>
            <w:r w:rsidR="000942FD">
              <w:t>10</w:t>
            </w:r>
            <w:r w:rsidR="00F332F0">
              <w:t>–</w:t>
            </w:r>
            <w:r>
              <w:t>50% рабочего времени</w:t>
            </w:r>
          </w:p>
        </w:tc>
        <w:tc>
          <w:tcPr>
            <w:tcW w:w="170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7840A5" w14:textId="77777777" w:rsidR="000A42CA" w:rsidRDefault="000A42CA" w:rsidP="00F332F0">
            <w:r>
              <w:t>750</w:t>
            </w:r>
          </w:p>
        </w:tc>
      </w:tr>
      <w:tr w:rsidR="00BC6F52" w14:paraId="7F28BE52" w14:textId="77777777" w:rsidTr="00F332F0">
        <w:tc>
          <w:tcPr>
            <w:tcW w:w="216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0E8B31" w14:textId="6493892D" w:rsidR="000A42CA" w:rsidRPr="00CF03E8" w:rsidRDefault="000A42CA" w:rsidP="005E0FE4">
            <w:pPr>
              <w:rPr>
                <w:b/>
                <w:bCs/>
                <w:lang w:val="en-US"/>
              </w:rPr>
            </w:pPr>
            <w:r w:rsidRPr="00F4339A">
              <w:rPr>
                <w:b/>
                <w:bCs/>
              </w:rPr>
              <w:lastRenderedPageBreak/>
              <w:t>Графический дизайнер</w:t>
            </w:r>
            <w:r w:rsidR="00CF03E8">
              <w:rPr>
                <w:b/>
                <w:bCs/>
              </w:rPr>
              <w:t xml:space="preserve"> (</w:t>
            </w:r>
            <w:r w:rsidR="00CF03E8">
              <w:rPr>
                <w:b/>
                <w:bCs/>
                <w:lang w:val="en-US"/>
              </w:rPr>
              <w:t>junior+, middle)</w:t>
            </w:r>
          </w:p>
        </w:tc>
        <w:tc>
          <w:tcPr>
            <w:tcW w:w="44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FEC2C5" w14:textId="319B7352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 xml:space="preserve">Вёрстка </w:t>
            </w:r>
            <w:r w:rsidR="00CF03E8">
              <w:t xml:space="preserve">одностраничной и </w:t>
            </w:r>
            <w:r>
              <w:t>многостраничной коммуникации (каталоги, буклеты</w:t>
            </w:r>
            <w:r w:rsidR="00CF03E8">
              <w:t>, роллапы, баннеры</w:t>
            </w:r>
            <w:r>
              <w:t xml:space="preserve"> и</w:t>
            </w:r>
            <w:r w:rsidR="00CF03E8">
              <w:t xml:space="preserve"> </w:t>
            </w:r>
            <w:r w:rsidR="002E0BF7">
              <w:t>т.д.</w:t>
            </w:r>
            <w:r w:rsidR="00CF03E8">
              <w:t>)</w:t>
            </w:r>
          </w:p>
          <w:p w14:paraId="3D82F5F4" w14:textId="77777777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Подготовка макетов по техническим требованиям на базе существующего исходника</w:t>
            </w:r>
          </w:p>
          <w:p w14:paraId="64226B2E" w14:textId="77777777" w:rsidR="0026338C" w:rsidRDefault="0026338C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 xml:space="preserve">Перевод изображения в </w:t>
            </w:r>
            <w:r>
              <w:rPr>
                <w:lang w:val="en-US"/>
              </w:rPr>
              <w:t>CMYK</w:t>
            </w:r>
          </w:p>
          <w:p w14:paraId="17769FE0" w14:textId="77777777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Развитие гайдлайнов и дизайн-систем на базе существующих стилей</w:t>
            </w:r>
          </w:p>
          <w:p w14:paraId="3CE017E3" w14:textId="77777777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Отрисовка векторных изображений (иконки, схемы и тому подобное)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012C30" w14:textId="77777777" w:rsidR="000A42CA" w:rsidRDefault="000942FD" w:rsidP="005E0FE4">
            <w:pPr>
              <w:spacing w:after="0"/>
            </w:pPr>
            <w:r>
              <w:t>Периодическая загрузка</w:t>
            </w:r>
          </w:p>
        </w:tc>
        <w:tc>
          <w:tcPr>
            <w:tcW w:w="170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092DA4" w14:textId="77777777" w:rsidR="000A42CA" w:rsidRDefault="000A42CA" w:rsidP="00F332F0">
            <w:r>
              <w:t>3000</w:t>
            </w:r>
          </w:p>
        </w:tc>
      </w:tr>
      <w:tr w:rsidR="00BC6F52" w14:paraId="2C4C7CA8" w14:textId="77777777" w:rsidTr="00F332F0">
        <w:tc>
          <w:tcPr>
            <w:tcW w:w="216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1A5682" w14:textId="17EB3C39" w:rsidR="000A42CA" w:rsidRPr="00CF03E8" w:rsidRDefault="000A42CA" w:rsidP="005E0FE4">
            <w:pPr>
              <w:rPr>
                <w:b/>
                <w:bCs/>
                <w:lang w:val="en-US"/>
              </w:rPr>
            </w:pPr>
            <w:r w:rsidRPr="00F4339A">
              <w:rPr>
                <w:b/>
                <w:bCs/>
              </w:rPr>
              <w:t>Креативный дизайнер</w:t>
            </w:r>
            <w:r w:rsidR="00CF03E8">
              <w:rPr>
                <w:b/>
                <w:bCs/>
              </w:rPr>
              <w:t xml:space="preserve"> (</w:t>
            </w:r>
            <w:r w:rsidR="00CF03E8">
              <w:rPr>
                <w:b/>
                <w:bCs/>
                <w:lang w:val="en-US"/>
              </w:rPr>
              <w:t>middle+, senior)</w:t>
            </w:r>
          </w:p>
        </w:tc>
        <w:tc>
          <w:tcPr>
            <w:tcW w:w="44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75A9D8" w14:textId="77777777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Генерация идей и разработка key visuals для маркетинговой коммуникации на основе предоставленного брифа</w:t>
            </w:r>
          </w:p>
          <w:p w14:paraId="57019D88" w14:textId="77777777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Разработка логотипов и стилей брендов и мероприятий на основе предоставленного брифа</w:t>
            </w:r>
          </w:p>
          <w:p w14:paraId="740550FB" w14:textId="77777777" w:rsidR="000942FD" w:rsidRDefault="000942FD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Разработка брендбуков и гайдлайнов</w:t>
            </w:r>
          </w:p>
          <w:p w14:paraId="0B00A094" w14:textId="77777777" w:rsidR="0026338C" w:rsidRDefault="0026338C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Разработка стилей коммуникаций на основе гайдлайна</w:t>
            </w:r>
            <w:r w:rsidR="000942FD">
              <w:t xml:space="preserve"> бренда</w:t>
            </w:r>
          </w:p>
          <w:p w14:paraId="321CF6C1" w14:textId="77777777" w:rsidR="0026338C" w:rsidRDefault="000942FD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Создание сценариев и раскадровок, подготовка к передаче моушн-дизайнеру</w:t>
            </w:r>
          </w:p>
          <w:p w14:paraId="4F932388" w14:textId="77777777" w:rsidR="000942FD" w:rsidRDefault="000942FD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Создание креативных концепций оформления пространств</w:t>
            </w:r>
          </w:p>
          <w:p w14:paraId="7D658CFE" w14:textId="269B5C82" w:rsidR="00CF03E8" w:rsidRDefault="00CF03E8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Создание креативных концепций выставочных стендов</w:t>
            </w:r>
          </w:p>
          <w:p w14:paraId="1C330B4E" w14:textId="478EF05B" w:rsidR="00CF03E8" w:rsidRDefault="00CF03E8" w:rsidP="00CF03E8">
            <w:pPr>
              <w:spacing w:before="100" w:beforeAutospacing="1" w:after="100" w:afterAutospacing="1" w:line="240" w:lineRule="auto"/>
              <w:ind w:left="228"/>
            </w:pP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4563DC" w14:textId="77777777" w:rsidR="000A42CA" w:rsidRDefault="000A42CA" w:rsidP="005E0FE4">
            <w:pPr>
              <w:spacing w:after="0"/>
            </w:pPr>
            <w:r>
              <w:t>Периодическая, в зависимости от наличия проектов</w:t>
            </w:r>
          </w:p>
        </w:tc>
        <w:tc>
          <w:tcPr>
            <w:tcW w:w="170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14D56D" w14:textId="77777777" w:rsidR="000A42CA" w:rsidRDefault="000A42CA" w:rsidP="00F332F0">
            <w:r>
              <w:t>2000</w:t>
            </w:r>
          </w:p>
        </w:tc>
      </w:tr>
      <w:tr w:rsidR="00BC6F52" w14:paraId="0B33203D" w14:textId="77777777" w:rsidTr="00F332F0">
        <w:tc>
          <w:tcPr>
            <w:tcW w:w="216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70C81" w14:textId="77777777" w:rsidR="000A42CA" w:rsidRPr="00F4339A" w:rsidRDefault="000A42CA" w:rsidP="005E0FE4">
            <w:pPr>
              <w:rPr>
                <w:b/>
                <w:bCs/>
              </w:rPr>
            </w:pPr>
            <w:r w:rsidRPr="00F4339A">
              <w:rPr>
                <w:b/>
                <w:bCs/>
              </w:rPr>
              <w:t>3D-дизайнер</w:t>
            </w:r>
          </w:p>
        </w:tc>
        <w:tc>
          <w:tcPr>
            <w:tcW w:w="44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8771AD" w14:textId="77777777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 xml:space="preserve">Моделирование выставочных стендов </w:t>
            </w:r>
            <w:r w:rsidR="000942FD">
              <w:t xml:space="preserve">и пространств </w:t>
            </w:r>
            <w:r>
              <w:t>на базе ТЗ</w:t>
            </w:r>
          </w:p>
          <w:p w14:paraId="6A20D841" w14:textId="154F83B9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Рендер</w:t>
            </w:r>
            <w:r w:rsidR="000942FD">
              <w:t xml:space="preserve"> статичных и </w:t>
            </w:r>
            <w:r w:rsidR="003F08B7">
              <w:t>анимированных изображений</w:t>
            </w:r>
            <w:r>
              <w:t xml:space="preserve"> высокого разрешения</w:t>
            </w:r>
          </w:p>
          <w:p w14:paraId="091530B9" w14:textId="77777777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Моделирование и рендер предметов под тактические коммуникационные задачи</w:t>
            </w:r>
          </w:p>
          <w:p w14:paraId="0CFAED65" w14:textId="77777777" w:rsidR="000942FD" w:rsidRDefault="000942FD" w:rsidP="00E360E1">
            <w:pPr>
              <w:spacing w:before="100" w:beforeAutospacing="1" w:after="100" w:afterAutospacing="1" w:line="240" w:lineRule="auto"/>
              <w:ind w:left="228" w:hanging="283"/>
            </w:pP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71FA69" w14:textId="77777777" w:rsidR="000A42CA" w:rsidRDefault="000A42CA" w:rsidP="005E0FE4">
            <w:pPr>
              <w:spacing w:after="0"/>
            </w:pPr>
            <w:r>
              <w:t>Периодическая, в зависимости от наличия проектов</w:t>
            </w:r>
          </w:p>
        </w:tc>
        <w:tc>
          <w:tcPr>
            <w:tcW w:w="170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A042E5" w14:textId="77777777" w:rsidR="000A42CA" w:rsidRDefault="000A42CA" w:rsidP="00F332F0">
            <w:r>
              <w:t>300</w:t>
            </w:r>
          </w:p>
        </w:tc>
      </w:tr>
      <w:tr w:rsidR="00BC6F52" w14:paraId="61025B65" w14:textId="77777777" w:rsidTr="00F332F0">
        <w:tc>
          <w:tcPr>
            <w:tcW w:w="216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687DDB" w14:textId="77777777" w:rsidR="000A42CA" w:rsidRPr="00F4339A" w:rsidRDefault="000A42CA" w:rsidP="005E0FE4">
            <w:pPr>
              <w:rPr>
                <w:b/>
                <w:bCs/>
              </w:rPr>
            </w:pPr>
            <w:r w:rsidRPr="00F4339A">
              <w:rPr>
                <w:b/>
                <w:bCs/>
              </w:rPr>
              <w:t>Motion-дизайнер</w:t>
            </w:r>
          </w:p>
        </w:tc>
        <w:tc>
          <w:tcPr>
            <w:tcW w:w="44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B10F28" w14:textId="77777777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Сборка роликов на основе предоставленных материалов</w:t>
            </w:r>
          </w:p>
          <w:p w14:paraId="159F27C8" w14:textId="77777777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Подготовка титров и небольших анимационных вставок</w:t>
            </w:r>
          </w:p>
          <w:p w14:paraId="15C5EA9E" w14:textId="01F68143" w:rsidR="000A42CA" w:rsidRDefault="002E0BF7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Анимированные</w:t>
            </w:r>
            <w:r w:rsidR="000A42CA">
              <w:t xml:space="preserve"> 3D-моделей</w:t>
            </w:r>
          </w:p>
          <w:p w14:paraId="64C66366" w14:textId="77777777" w:rsidR="000942FD" w:rsidRDefault="000942FD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Подбор звукового сопровождения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E01C25" w14:textId="77777777" w:rsidR="000A42CA" w:rsidRDefault="000A42CA" w:rsidP="005E0FE4">
            <w:pPr>
              <w:spacing w:after="0"/>
            </w:pPr>
            <w:r>
              <w:t>Периодическая, в зависимости от наличия проектов</w:t>
            </w:r>
          </w:p>
        </w:tc>
        <w:tc>
          <w:tcPr>
            <w:tcW w:w="170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A473FD" w14:textId="77777777" w:rsidR="000A42CA" w:rsidRDefault="000A42CA" w:rsidP="00F332F0">
            <w:r>
              <w:t>500</w:t>
            </w:r>
          </w:p>
        </w:tc>
      </w:tr>
      <w:tr w:rsidR="00BC6F52" w14:paraId="578A51A5" w14:textId="77777777" w:rsidTr="00F332F0">
        <w:tc>
          <w:tcPr>
            <w:tcW w:w="216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790B28" w14:textId="77777777" w:rsidR="000A42CA" w:rsidRPr="00F4339A" w:rsidRDefault="000A42CA" w:rsidP="005E0FE4">
            <w:pPr>
              <w:rPr>
                <w:b/>
                <w:bCs/>
              </w:rPr>
            </w:pPr>
            <w:r w:rsidRPr="00F4339A">
              <w:rPr>
                <w:b/>
                <w:bCs/>
              </w:rPr>
              <w:lastRenderedPageBreak/>
              <w:t>Презентационный дизайнер</w:t>
            </w:r>
          </w:p>
        </w:tc>
        <w:tc>
          <w:tcPr>
            <w:tcW w:w="44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ADD2B9" w14:textId="77777777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 xml:space="preserve">Подготовка презентаций </w:t>
            </w:r>
            <w:r w:rsidR="009B4C55">
              <w:t>(</w:t>
            </w:r>
            <w:r>
              <w:t>в</w:t>
            </w:r>
            <w:r w:rsidR="009B4C55">
              <w:t>озможные форматы:</w:t>
            </w:r>
            <w:r>
              <w:t xml:space="preserve"> PPT </w:t>
            </w:r>
            <w:r w:rsidR="000942FD">
              <w:t>и</w:t>
            </w:r>
            <w:r w:rsidR="009B4C55">
              <w:t>ли</w:t>
            </w:r>
            <w:r w:rsidR="000942FD">
              <w:t xml:space="preserve"> Фигм</w:t>
            </w:r>
            <w:r w:rsidR="009B4C55">
              <w:t>а)</w:t>
            </w:r>
            <w:r w:rsidR="000942FD">
              <w:t xml:space="preserve"> </w:t>
            </w:r>
            <w:r>
              <w:t>на основе предоставленного контента и существующих стилей</w:t>
            </w:r>
          </w:p>
          <w:p w14:paraId="6F79F133" w14:textId="77777777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Проверка презентаций на соответствие стандартам качества</w:t>
            </w:r>
          </w:p>
          <w:p w14:paraId="3427243E" w14:textId="77777777" w:rsidR="000942FD" w:rsidRDefault="000942FD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Утверждение у Дизайн-центра макетов на разных этапах по индивидуальной договоренности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A63BF5" w14:textId="77777777" w:rsidR="000A42CA" w:rsidRDefault="009B4C55" w:rsidP="005E0FE4">
            <w:pPr>
              <w:spacing w:after="0"/>
            </w:pPr>
            <w:r>
              <w:t>Периодическая, в зависимости от наличия проектов</w:t>
            </w:r>
          </w:p>
        </w:tc>
        <w:tc>
          <w:tcPr>
            <w:tcW w:w="170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57133F" w14:textId="1AFCE2C7" w:rsidR="000A42CA" w:rsidRDefault="00CF03E8" w:rsidP="00F332F0">
            <w:r>
              <w:t>500</w:t>
            </w:r>
          </w:p>
        </w:tc>
      </w:tr>
      <w:tr w:rsidR="00BC6F52" w14:paraId="3B390D33" w14:textId="77777777" w:rsidTr="00F332F0">
        <w:tc>
          <w:tcPr>
            <w:tcW w:w="216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6B0739" w14:textId="77777777" w:rsidR="000A42CA" w:rsidRPr="00F4339A" w:rsidRDefault="000A42CA" w:rsidP="005E0FE4">
            <w:pPr>
              <w:rPr>
                <w:b/>
                <w:bCs/>
              </w:rPr>
            </w:pPr>
            <w:r w:rsidRPr="00F4339A">
              <w:rPr>
                <w:b/>
                <w:bCs/>
              </w:rPr>
              <w:t>Дизайн-лид</w:t>
            </w:r>
          </w:p>
        </w:tc>
        <w:tc>
          <w:tcPr>
            <w:tcW w:w="44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00FF35" w14:textId="77777777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Проверка всех выходящих заданий на соответствие гайдлайнам, лучшим практикам</w:t>
            </w:r>
            <w:r w:rsidR="009B4C55">
              <w:t>, грамматическим и типографическим правилам, соответствию ТЗ</w:t>
            </w:r>
            <w:r>
              <w:t xml:space="preserve"> </w:t>
            </w:r>
          </w:p>
          <w:p w14:paraId="224B6481" w14:textId="77777777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Участие в генерации идей в проектах креативного дизайнера</w:t>
            </w:r>
          </w:p>
          <w:p w14:paraId="415B70F2" w14:textId="77777777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Приём и анализ входящих задач для постановки целей своей команде</w:t>
            </w:r>
          </w:p>
          <w:p w14:paraId="6C08C3B6" w14:textId="77777777" w:rsidR="009B4C55" w:rsidRDefault="009B4C55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Участие в брифах и обсуждениях задач с Дизайн-центром совместно с менеджером-проектов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49081E" w14:textId="77777777" w:rsidR="000A42CA" w:rsidRDefault="009B4C55" w:rsidP="009B4C55">
            <w:pPr>
              <w:spacing w:before="100" w:beforeAutospacing="1" w:after="100" w:afterAutospacing="1" w:line="240" w:lineRule="auto"/>
            </w:pPr>
            <w:r>
              <w:t>Периодическая, в зависимости от наличия проектов</w:t>
            </w:r>
          </w:p>
        </w:tc>
        <w:tc>
          <w:tcPr>
            <w:tcW w:w="170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C92910" w14:textId="77777777" w:rsidR="000A42CA" w:rsidRDefault="000A42CA" w:rsidP="00F332F0">
            <w:pPr>
              <w:spacing w:after="0"/>
            </w:pPr>
            <w:r>
              <w:t>500</w:t>
            </w:r>
          </w:p>
        </w:tc>
      </w:tr>
      <w:tr w:rsidR="00BC6F52" w14:paraId="24482B1F" w14:textId="77777777" w:rsidTr="00F332F0">
        <w:tc>
          <w:tcPr>
            <w:tcW w:w="216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BC34D2" w14:textId="77777777" w:rsidR="000A42CA" w:rsidRPr="00F4339A" w:rsidRDefault="000A42CA" w:rsidP="005E0FE4">
            <w:pPr>
              <w:rPr>
                <w:b/>
                <w:bCs/>
              </w:rPr>
            </w:pPr>
            <w:r w:rsidRPr="00F4339A">
              <w:rPr>
                <w:b/>
                <w:bCs/>
              </w:rPr>
              <w:t>Веб-дизайнер</w:t>
            </w:r>
          </w:p>
        </w:tc>
        <w:tc>
          <w:tcPr>
            <w:tcW w:w="448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432738" w14:textId="77777777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Сборка лендингов и сайтов на базе существующих дизайн-систем и в соответствии с брифом</w:t>
            </w:r>
          </w:p>
          <w:p w14:paraId="24445B66" w14:textId="77777777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Доработка существующих дизайн-ресурсов (дополнение или изменение контента)</w:t>
            </w:r>
          </w:p>
          <w:p w14:paraId="6D73198A" w14:textId="77777777" w:rsidR="000A42CA" w:rsidRDefault="000A42CA" w:rsidP="00E360E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228" w:hanging="283"/>
            </w:pPr>
            <w:r>
              <w:t>Создание креативных лендингов или сайтов с нуля в соответствии с брифом</w:t>
            </w:r>
          </w:p>
        </w:tc>
        <w:tc>
          <w:tcPr>
            <w:tcW w:w="198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A7B9E4" w14:textId="77777777" w:rsidR="000A42CA" w:rsidRDefault="000A42CA" w:rsidP="005E0FE4">
            <w:pPr>
              <w:spacing w:after="0"/>
            </w:pPr>
            <w:r>
              <w:t>Периодическая, в зависимости от наличия проектов</w:t>
            </w:r>
          </w:p>
        </w:tc>
        <w:tc>
          <w:tcPr>
            <w:tcW w:w="170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935C4A" w14:textId="77777777" w:rsidR="000A42CA" w:rsidRDefault="000A42CA" w:rsidP="00F332F0">
            <w:r>
              <w:t>300</w:t>
            </w:r>
          </w:p>
        </w:tc>
      </w:tr>
    </w:tbl>
    <w:p w14:paraId="7FAB0C7D" w14:textId="77777777" w:rsidR="00AF4CDB" w:rsidRDefault="00AF4CDB" w:rsidP="005E0FE4">
      <w:pPr>
        <w:pStyle w:val="auto-cursor-target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600B1B82" w14:textId="77777777" w:rsidR="00BC6F52" w:rsidRPr="00A52041" w:rsidRDefault="00BC6F52" w:rsidP="005E0FE4">
      <w:pPr>
        <w:pStyle w:val="auto-cursor-target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252B2D0F" w14:textId="77777777" w:rsidR="00BC6F52" w:rsidRDefault="00BC6F52" w:rsidP="005E0FE4">
      <w:pPr>
        <w:pStyle w:val="auto-cursor-target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046C6255" w14:textId="77777777" w:rsidR="000A42CA" w:rsidRPr="00BC6F52" w:rsidRDefault="000A42CA" w:rsidP="005E0FE4">
      <w:pPr>
        <w:pStyle w:val="auto-cursor-target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BC6F52">
        <w:rPr>
          <w:rFonts w:asciiTheme="minorHAnsi" w:hAnsiTheme="minorHAnsi" w:cstheme="minorHAnsi"/>
          <w:b/>
          <w:sz w:val="28"/>
          <w:szCs w:val="28"/>
        </w:rPr>
        <w:t>Прочие требования:</w:t>
      </w:r>
    </w:p>
    <w:p w14:paraId="4D050E1A" w14:textId="77777777" w:rsidR="00AF4CDB" w:rsidRDefault="00AF4CDB" w:rsidP="005E0FE4">
      <w:pPr>
        <w:pStyle w:val="auto-cursor-target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tbl>
      <w:tblPr>
        <w:tblW w:w="10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7428"/>
      </w:tblGrid>
      <w:tr w:rsidR="000A42CA" w14:paraId="27747093" w14:textId="77777777" w:rsidTr="00F4339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FAD043" w14:textId="77777777" w:rsidR="000A42CA" w:rsidRDefault="000A42CA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Опыт работы и компетентность</w:t>
            </w:r>
          </w:p>
        </w:tc>
        <w:tc>
          <w:tcPr>
            <w:tcW w:w="742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16BB5A" w14:textId="77777777" w:rsidR="00DD2126" w:rsidRPr="00C62FBF" w:rsidRDefault="000A42CA" w:rsidP="00DD2126">
            <w:pPr>
              <w:pStyle w:val="ad"/>
              <w:numPr>
                <w:ilvl w:val="0"/>
                <w:numId w:val="11"/>
              </w:numPr>
              <w:spacing w:after="0"/>
              <w:rPr>
                <w:color w:val="000000" w:themeColor="text1"/>
              </w:rPr>
            </w:pPr>
            <w:r w:rsidRPr="00C62FBF">
              <w:rPr>
                <w:color w:val="000000" w:themeColor="text1"/>
              </w:rPr>
              <w:t>Портфолио работ по указанным выше компетенциям не старше 3-х</w:t>
            </w:r>
          </w:p>
          <w:p w14:paraId="39463184" w14:textId="3A6DE4D0" w:rsidR="000A42CA" w:rsidRPr="00DD2126" w:rsidRDefault="000A42CA" w:rsidP="00DD2126">
            <w:pPr>
              <w:spacing w:after="0"/>
              <w:rPr>
                <w:color w:val="000000" w:themeColor="text1"/>
              </w:rPr>
            </w:pPr>
            <w:r w:rsidRPr="00C62FBF">
              <w:rPr>
                <w:color w:val="000000" w:themeColor="text1"/>
              </w:rPr>
              <w:t>лет</w:t>
            </w:r>
            <w:r w:rsidR="00B60115" w:rsidRPr="00C62FBF">
              <w:rPr>
                <w:color w:val="000000" w:themeColor="text1"/>
              </w:rPr>
              <w:t xml:space="preserve"> </w:t>
            </w:r>
          </w:p>
          <w:p w14:paraId="54E67071" w14:textId="5DF4399B" w:rsidR="000A42CA" w:rsidRDefault="000A42CA" w:rsidP="005E0FE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0"/>
            </w:pPr>
            <w:r w:rsidRPr="00C62FBF">
              <w:rPr>
                <w:color w:val="000000" w:themeColor="text1"/>
              </w:rPr>
              <w:lastRenderedPageBreak/>
              <w:t xml:space="preserve">Опыт работы дизайн-лида на своей или аналогичной должности </w:t>
            </w:r>
          </w:p>
        </w:tc>
      </w:tr>
      <w:tr w:rsidR="000A42CA" w14:paraId="720079A4" w14:textId="77777777" w:rsidTr="00F4339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0F82DB" w14:textId="77777777" w:rsidR="000A42CA" w:rsidRDefault="000A42CA" w:rsidP="005E0FE4">
            <w:pPr>
              <w:spacing w:after="0"/>
            </w:pPr>
            <w:r>
              <w:lastRenderedPageBreak/>
              <w:t>Структура и управление</w:t>
            </w:r>
          </w:p>
        </w:tc>
        <w:tc>
          <w:tcPr>
            <w:tcW w:w="742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1BE207" w14:textId="719E7B40" w:rsidR="000A42CA" w:rsidRPr="00000C49" w:rsidRDefault="000A42CA" w:rsidP="005E0FE4">
            <w:pPr>
              <w:pStyle w:val="auto-cursor-target"/>
              <w:numPr>
                <w:ilvl w:val="0"/>
                <w:numId w:val="12"/>
              </w:numPr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000C49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Менеджер проекта и дизайн-лид в штате компании, не менее 10 дизайнеров в штате или на контракте</w:t>
            </w:r>
            <w:r w:rsidR="0024161F" w:rsidRPr="00000C49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7FBAF18B" w14:textId="6ACBD4F1" w:rsidR="000A42CA" w:rsidRPr="00000C49" w:rsidRDefault="000A42CA" w:rsidP="005E0FE4">
            <w:pPr>
              <w:pStyle w:val="auto-cursor-target"/>
              <w:numPr>
                <w:ilvl w:val="0"/>
                <w:numId w:val="12"/>
              </w:numPr>
              <w:ind w:left="0" w:firstLine="0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000C4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Наличие собственной системы таск-трекинга, способной учитывать количество потраченных рабочих часов</w:t>
            </w:r>
            <w:r w:rsidR="00C06009" w:rsidRPr="00000C4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bookmarkStart w:id="0" w:name="_GoBack"/>
            <w:bookmarkEnd w:id="0"/>
          </w:p>
          <w:p w14:paraId="41D15AE1" w14:textId="38E984F5" w:rsidR="000A42CA" w:rsidRPr="00C62FBF" w:rsidRDefault="000A42CA" w:rsidP="005E0FE4">
            <w:pPr>
              <w:pStyle w:val="auto-cursor-target"/>
              <w:numPr>
                <w:ilvl w:val="0"/>
                <w:numId w:val="12"/>
              </w:numPr>
              <w:ind w:left="0" w:firstLine="0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000C49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Готовность работать недельными спринтами и предоставлять</w:t>
            </w:r>
            <w:r w:rsidRPr="00C62FBF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отчётность по всем проведённым проектам не реже раза в месяц</w:t>
            </w:r>
            <w:r w:rsidR="00DD2126" w:rsidRPr="00C62FBF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</w:p>
          <w:p w14:paraId="17984D78" w14:textId="0FADF6CE" w:rsidR="009B4C55" w:rsidRPr="00C06009" w:rsidRDefault="009B4C55" w:rsidP="005E0FE4">
            <w:pPr>
              <w:pStyle w:val="auto-cursor-target"/>
              <w:numPr>
                <w:ilvl w:val="0"/>
                <w:numId w:val="12"/>
              </w:numPr>
              <w:ind w:left="0" w:firstLine="0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Готовность оперативно брать в работу срочные задачи, предварительно обсуждая условия и сроки работы, в том числе внеурочно и в выходные</w:t>
            </w:r>
            <w:r w:rsidR="00C060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r w:rsidR="002E0BF7" w:rsidRPr="002E0BF7">
              <w:rPr>
                <w:rFonts w:asciiTheme="minorHAnsi" w:eastAsiaTheme="minorHAnsi" w:hAnsiTheme="minorHAnsi" w:cstheme="minorBidi"/>
                <w:sz w:val="22"/>
                <w:szCs w:val="22"/>
                <w:highlight w:val="lightGray"/>
                <w:lang w:eastAsia="en-US"/>
              </w:rPr>
              <w:t>Минимальный срок срочной принятия заявки в работу и просчета 24 часа с момента получения письма от Заказчика.</w:t>
            </w:r>
            <w:r w:rsidR="002E0BF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3AF43921" w14:textId="578504BF" w:rsidR="00DF7FA6" w:rsidRPr="00C06009" w:rsidRDefault="000A42CA" w:rsidP="00F836BD">
            <w:pPr>
              <w:pStyle w:val="auto-cursor-target"/>
              <w:numPr>
                <w:ilvl w:val="0"/>
                <w:numId w:val="12"/>
              </w:numPr>
              <w:ind w:left="0" w:firstLine="0"/>
            </w:pPr>
            <w:r w:rsidRPr="002E0BF7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Готовность регулярно, но не реже чем раз в месяц проводить ретроспективу по всем проведённым проектам и вносить необходимые коррективы для повышения эффективности </w:t>
            </w:r>
            <w:r w:rsidR="00F836BD" w:rsidRPr="002E0BF7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работы</w:t>
            </w:r>
            <w:r w:rsidR="00C06009" w:rsidRPr="002E0BF7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2E0BF7" w:rsidRPr="002E0BF7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48E0C55E" w14:textId="037502AC" w:rsidR="00C06009" w:rsidRDefault="00C06009" w:rsidP="00C06009">
            <w:pPr>
              <w:pStyle w:val="auto-cursor-target"/>
            </w:pPr>
          </w:p>
        </w:tc>
      </w:tr>
      <w:tr w:rsidR="000A42CA" w14:paraId="785D8E65" w14:textId="77777777" w:rsidTr="00F4339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E38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478842" w14:textId="77777777" w:rsidR="000A42CA" w:rsidRDefault="000A42CA" w:rsidP="005E0FE4">
            <w:r>
              <w:t>Обязательные юридические и финансовые требования</w:t>
            </w:r>
          </w:p>
        </w:tc>
        <w:tc>
          <w:tcPr>
            <w:tcW w:w="742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E38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43133C" w14:textId="77777777" w:rsidR="000A42CA" w:rsidRDefault="000A42CA" w:rsidP="005E0FE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0"/>
            </w:pPr>
            <w:r>
              <w:t>Пост-оплата по итогам потраченных за месяц рабочих часов</w:t>
            </w:r>
          </w:p>
          <w:p w14:paraId="5E45B4AB" w14:textId="77777777" w:rsidR="000A42CA" w:rsidRDefault="000A42CA" w:rsidP="005E0FE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0"/>
            </w:pPr>
            <w:r>
              <w:t>Агентская комиссия</w:t>
            </w:r>
            <w:r w:rsidR="00A34B6D">
              <w:t xml:space="preserve">, если </w:t>
            </w:r>
            <w:r w:rsidR="0097516D">
              <w:t>т</w:t>
            </w:r>
            <w:r w:rsidR="00A34B6D">
              <w:t>акая имеется,</w:t>
            </w:r>
            <w:r>
              <w:t xml:space="preserve"> включена в стоимость рабочих часов и не выставляется отдельным счётом</w:t>
            </w:r>
          </w:p>
          <w:p w14:paraId="3330F617" w14:textId="0D939AF8" w:rsidR="000A42CA" w:rsidRDefault="000A42CA" w:rsidP="005E0FE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0"/>
            </w:pPr>
            <w:r>
              <w:t>Стоимость рабочих часов оформляется неотъемлемым приложением к договору и не пересматривается в течение года, либо до конца действия договора если договор истекает раньше</w:t>
            </w:r>
            <w:r w:rsidR="00C53B93">
              <w:t>.</w:t>
            </w:r>
          </w:p>
        </w:tc>
      </w:tr>
      <w:tr w:rsidR="000A42CA" w14:paraId="34994339" w14:textId="77777777" w:rsidTr="00F4339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E38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2CA1D1" w14:textId="77777777" w:rsidR="000A42CA" w:rsidRDefault="000A42CA" w:rsidP="005E0FE4">
            <w:pPr>
              <w:spacing w:after="0"/>
            </w:pPr>
            <w:r>
              <w:t>Обязательные технические требования</w:t>
            </w:r>
          </w:p>
        </w:tc>
        <w:tc>
          <w:tcPr>
            <w:tcW w:w="742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E38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48A2C6" w14:textId="03E3DC3F" w:rsidR="000A42CA" w:rsidRDefault="000A42CA" w:rsidP="005E0FE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0"/>
            </w:pPr>
            <w:r>
              <w:t xml:space="preserve">Свободное владение специалистами профильным ПО – </w:t>
            </w:r>
            <w:proofErr w:type="spellStart"/>
            <w:r>
              <w:t>Adobe</w:t>
            </w:r>
            <w:proofErr w:type="spellEnd"/>
            <w:r>
              <w:t xml:space="preserve"> CC (</w:t>
            </w:r>
            <w:proofErr w:type="spellStart"/>
            <w:r>
              <w:t>Ai</w:t>
            </w:r>
            <w:proofErr w:type="spellEnd"/>
            <w:r>
              <w:t xml:space="preserve">, </w:t>
            </w:r>
            <w:proofErr w:type="spellStart"/>
            <w:r>
              <w:t>Ps</w:t>
            </w:r>
            <w:proofErr w:type="spellEnd"/>
            <w:r>
              <w:t xml:space="preserve">, </w:t>
            </w:r>
            <w:proofErr w:type="spellStart"/>
            <w:r>
              <w:t>Id</w:t>
            </w:r>
            <w:proofErr w:type="spellEnd"/>
            <w:r>
              <w:t xml:space="preserve">), </w:t>
            </w:r>
            <w:proofErr w:type="spellStart"/>
            <w:r>
              <w:t>Figma</w:t>
            </w:r>
            <w:proofErr w:type="spellEnd"/>
            <w:r>
              <w:t xml:space="preserve">, MS </w:t>
            </w:r>
            <w:proofErr w:type="spellStart"/>
            <w:r>
              <w:t>PowerPoint</w:t>
            </w:r>
            <w:proofErr w:type="spellEnd"/>
            <w:r>
              <w:t xml:space="preserve">, Cinema4D, </w:t>
            </w:r>
            <w:proofErr w:type="spellStart"/>
            <w:r>
              <w:t>Blender</w:t>
            </w:r>
            <w:proofErr w:type="spellEnd"/>
            <w:r>
              <w:t xml:space="preserve"> и готовность предоставлять исходные материалы в указанных форматах</w:t>
            </w:r>
            <w:r w:rsidR="00C53B93">
              <w:t xml:space="preserve"> </w:t>
            </w:r>
          </w:p>
        </w:tc>
      </w:tr>
    </w:tbl>
    <w:p w14:paraId="76B4AB82" w14:textId="460A0392" w:rsidR="00AF4CDB" w:rsidRDefault="00AF4CDB" w:rsidP="005E0FE4">
      <w:pPr>
        <w:pStyle w:val="auto-cursor-target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</w:rPr>
      </w:pPr>
    </w:p>
    <w:p w14:paraId="0937C691" w14:textId="3BC969F0" w:rsidR="002E0BF7" w:rsidRDefault="002E0BF7" w:rsidP="005E0FE4">
      <w:pPr>
        <w:pStyle w:val="auto-cursor-target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</w:rPr>
      </w:pPr>
    </w:p>
    <w:p w14:paraId="38F1FE0B" w14:textId="36ABCE61" w:rsidR="002E0BF7" w:rsidRDefault="002E0BF7" w:rsidP="005E0FE4">
      <w:pPr>
        <w:pStyle w:val="auto-cursor-target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</w:rPr>
      </w:pPr>
    </w:p>
    <w:p w14:paraId="781925AB" w14:textId="77C7076E" w:rsidR="002E0BF7" w:rsidRDefault="002E0BF7" w:rsidP="005E0FE4">
      <w:pPr>
        <w:pStyle w:val="auto-cursor-target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</w:rPr>
      </w:pPr>
    </w:p>
    <w:p w14:paraId="2974FFF9" w14:textId="088CB46C" w:rsidR="002E0BF7" w:rsidRDefault="002E0BF7" w:rsidP="005E0FE4">
      <w:pPr>
        <w:pStyle w:val="auto-cursor-target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</w:rPr>
      </w:pPr>
    </w:p>
    <w:p w14:paraId="18F25938" w14:textId="18A4CAD8" w:rsidR="002E0BF7" w:rsidRDefault="002E0BF7" w:rsidP="005E0FE4">
      <w:pPr>
        <w:pStyle w:val="auto-cursor-target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</w:rPr>
      </w:pPr>
    </w:p>
    <w:p w14:paraId="05068D46" w14:textId="676670DF" w:rsidR="00000C49" w:rsidRDefault="00000C49" w:rsidP="005E0FE4">
      <w:pPr>
        <w:pStyle w:val="auto-cursor-target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</w:rPr>
      </w:pPr>
    </w:p>
    <w:p w14:paraId="60050EED" w14:textId="3D1A73DD" w:rsidR="00000C49" w:rsidRDefault="00000C49" w:rsidP="005E0FE4">
      <w:pPr>
        <w:pStyle w:val="auto-cursor-target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</w:rPr>
      </w:pPr>
    </w:p>
    <w:p w14:paraId="3ADBAFFD" w14:textId="18FB5A6C" w:rsidR="00000C49" w:rsidRDefault="00000C49" w:rsidP="005E0FE4">
      <w:pPr>
        <w:pStyle w:val="auto-cursor-target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</w:rPr>
      </w:pPr>
    </w:p>
    <w:p w14:paraId="7DC8AF15" w14:textId="16F1AE45" w:rsidR="00000C49" w:rsidRDefault="00000C49" w:rsidP="005E0FE4">
      <w:pPr>
        <w:pStyle w:val="auto-cursor-target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</w:rPr>
      </w:pPr>
    </w:p>
    <w:p w14:paraId="50B7476F" w14:textId="77777777" w:rsidR="00000C49" w:rsidRDefault="00000C49" w:rsidP="005E0FE4">
      <w:pPr>
        <w:pStyle w:val="auto-cursor-target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</w:rPr>
      </w:pPr>
    </w:p>
    <w:p w14:paraId="7FFC9AC3" w14:textId="77777777" w:rsidR="002E0BF7" w:rsidRPr="00D6165E" w:rsidRDefault="002E0BF7" w:rsidP="005E0FE4">
      <w:pPr>
        <w:pStyle w:val="auto-cursor-target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</w:rPr>
      </w:pPr>
    </w:p>
    <w:p w14:paraId="17CE104E" w14:textId="77777777" w:rsidR="000A42CA" w:rsidRDefault="000A42CA" w:rsidP="005E0FE4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57543CCD" w14:textId="77777777" w:rsidR="00CF76EE" w:rsidRDefault="00CF76EE" w:rsidP="0046014C">
      <w:pPr>
        <w:pStyle w:val="5"/>
      </w:pPr>
    </w:p>
    <w:p w14:paraId="55AD74B7" w14:textId="77777777" w:rsidR="00CF76EE" w:rsidRDefault="00CF76EE" w:rsidP="005E0FE4">
      <w:pPr>
        <w:pStyle w:val="a3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sectPr w:rsidR="00CF76EE" w:rsidSect="00BC6F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845DCEB" w16cex:dateUtc="2023-11-20T12:18:00Z"/>
  <w16cex:commentExtensible w16cex:durableId="3418D693" w16cex:dateUtc="2023-11-20T12:20:00Z"/>
  <w16cex:commentExtensible w16cex:durableId="181336E1" w16cex:dateUtc="2023-11-20T12:21:00Z"/>
  <w16cex:commentExtensible w16cex:durableId="66681DB1" w16cex:dateUtc="2023-11-20T12:21:00Z"/>
  <w16cex:commentExtensible w16cex:durableId="1DF81995" w16cex:dateUtc="2023-11-24T13:27:00Z"/>
  <w16cex:commentExtensible w16cex:durableId="2AAE6C56" w16cex:dateUtc="2023-12-05T16:0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562"/>
    <w:multiLevelType w:val="multilevel"/>
    <w:tmpl w:val="BBE0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F22329"/>
    <w:multiLevelType w:val="multilevel"/>
    <w:tmpl w:val="2804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0C1589"/>
    <w:multiLevelType w:val="multilevel"/>
    <w:tmpl w:val="CC50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7A64EE"/>
    <w:multiLevelType w:val="multilevel"/>
    <w:tmpl w:val="A58A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0D01A6"/>
    <w:multiLevelType w:val="multilevel"/>
    <w:tmpl w:val="BE3E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B27400"/>
    <w:multiLevelType w:val="multilevel"/>
    <w:tmpl w:val="FA9E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8424F3"/>
    <w:multiLevelType w:val="multilevel"/>
    <w:tmpl w:val="7394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2A7926"/>
    <w:multiLevelType w:val="multilevel"/>
    <w:tmpl w:val="CD98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C15E9B"/>
    <w:multiLevelType w:val="multilevel"/>
    <w:tmpl w:val="6766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1B7710"/>
    <w:multiLevelType w:val="hybridMultilevel"/>
    <w:tmpl w:val="E7C6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B2642"/>
    <w:multiLevelType w:val="multilevel"/>
    <w:tmpl w:val="CEE8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D97CD4"/>
    <w:multiLevelType w:val="multilevel"/>
    <w:tmpl w:val="2346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F150DF"/>
    <w:multiLevelType w:val="multilevel"/>
    <w:tmpl w:val="7B56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7B01AF"/>
    <w:multiLevelType w:val="multilevel"/>
    <w:tmpl w:val="6EBE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761A1E"/>
    <w:multiLevelType w:val="multilevel"/>
    <w:tmpl w:val="6BD2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0C3DDB"/>
    <w:multiLevelType w:val="multilevel"/>
    <w:tmpl w:val="508E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3702CE"/>
    <w:multiLevelType w:val="multilevel"/>
    <w:tmpl w:val="AE3E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CD4C35"/>
    <w:multiLevelType w:val="multilevel"/>
    <w:tmpl w:val="A930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9B0C67"/>
    <w:multiLevelType w:val="multilevel"/>
    <w:tmpl w:val="F956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12497A"/>
    <w:multiLevelType w:val="hybridMultilevel"/>
    <w:tmpl w:val="07C8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13894"/>
    <w:multiLevelType w:val="multilevel"/>
    <w:tmpl w:val="7F4A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002E9F"/>
    <w:multiLevelType w:val="multilevel"/>
    <w:tmpl w:val="7272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3C3641"/>
    <w:multiLevelType w:val="multilevel"/>
    <w:tmpl w:val="53D4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430345"/>
    <w:multiLevelType w:val="multilevel"/>
    <w:tmpl w:val="543E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C739C9"/>
    <w:multiLevelType w:val="multilevel"/>
    <w:tmpl w:val="411C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2D1726"/>
    <w:multiLevelType w:val="multilevel"/>
    <w:tmpl w:val="9284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3D7468"/>
    <w:multiLevelType w:val="multilevel"/>
    <w:tmpl w:val="0B3C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5067D0"/>
    <w:multiLevelType w:val="multilevel"/>
    <w:tmpl w:val="BEFC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3F5B78"/>
    <w:multiLevelType w:val="multilevel"/>
    <w:tmpl w:val="C9B6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374774"/>
    <w:multiLevelType w:val="multilevel"/>
    <w:tmpl w:val="BCB0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8"/>
  </w:num>
  <w:num w:numId="3">
    <w:abstractNumId w:val="22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20"/>
  </w:num>
  <w:num w:numId="9">
    <w:abstractNumId w:val="15"/>
  </w:num>
  <w:num w:numId="10">
    <w:abstractNumId w:val="27"/>
  </w:num>
  <w:num w:numId="11">
    <w:abstractNumId w:val="13"/>
  </w:num>
  <w:num w:numId="12">
    <w:abstractNumId w:val="18"/>
  </w:num>
  <w:num w:numId="13">
    <w:abstractNumId w:val="14"/>
  </w:num>
  <w:num w:numId="14">
    <w:abstractNumId w:val="17"/>
  </w:num>
  <w:num w:numId="15">
    <w:abstractNumId w:val="0"/>
  </w:num>
  <w:num w:numId="16">
    <w:abstractNumId w:val="12"/>
  </w:num>
  <w:num w:numId="17">
    <w:abstractNumId w:val="21"/>
  </w:num>
  <w:num w:numId="18">
    <w:abstractNumId w:val="24"/>
  </w:num>
  <w:num w:numId="19">
    <w:abstractNumId w:val="7"/>
  </w:num>
  <w:num w:numId="20">
    <w:abstractNumId w:val="4"/>
  </w:num>
  <w:num w:numId="21">
    <w:abstractNumId w:val="23"/>
  </w:num>
  <w:num w:numId="22">
    <w:abstractNumId w:val="28"/>
  </w:num>
  <w:num w:numId="23">
    <w:abstractNumId w:val="11"/>
  </w:num>
  <w:num w:numId="24">
    <w:abstractNumId w:val="2"/>
  </w:num>
  <w:num w:numId="25">
    <w:abstractNumId w:val="29"/>
  </w:num>
  <w:num w:numId="26">
    <w:abstractNumId w:val="25"/>
  </w:num>
  <w:num w:numId="27">
    <w:abstractNumId w:val="3"/>
  </w:num>
  <w:num w:numId="28">
    <w:abstractNumId w:val="16"/>
  </w:num>
  <w:num w:numId="29">
    <w:abstractNumId w:val="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ED"/>
    <w:rsid w:val="00000C49"/>
    <w:rsid w:val="00040371"/>
    <w:rsid w:val="00047F57"/>
    <w:rsid w:val="000942FD"/>
    <w:rsid w:val="000A42CA"/>
    <w:rsid w:val="000E5BA0"/>
    <w:rsid w:val="0016291E"/>
    <w:rsid w:val="0024161F"/>
    <w:rsid w:val="002618FE"/>
    <w:rsid w:val="0026338C"/>
    <w:rsid w:val="002E0BF7"/>
    <w:rsid w:val="003500CB"/>
    <w:rsid w:val="00362A75"/>
    <w:rsid w:val="003B2570"/>
    <w:rsid w:val="003F08B7"/>
    <w:rsid w:val="0046014C"/>
    <w:rsid w:val="004D65ED"/>
    <w:rsid w:val="00552E68"/>
    <w:rsid w:val="00562D3E"/>
    <w:rsid w:val="005E0FE4"/>
    <w:rsid w:val="006447ED"/>
    <w:rsid w:val="00665A64"/>
    <w:rsid w:val="006922FC"/>
    <w:rsid w:val="00782658"/>
    <w:rsid w:val="008631C1"/>
    <w:rsid w:val="009724F7"/>
    <w:rsid w:val="0097516D"/>
    <w:rsid w:val="009B4C55"/>
    <w:rsid w:val="009C462F"/>
    <w:rsid w:val="009E6DBB"/>
    <w:rsid w:val="009F2CC4"/>
    <w:rsid w:val="00A00572"/>
    <w:rsid w:val="00A34B6D"/>
    <w:rsid w:val="00A51651"/>
    <w:rsid w:val="00A52041"/>
    <w:rsid w:val="00AE447E"/>
    <w:rsid w:val="00AF4CDB"/>
    <w:rsid w:val="00B54C90"/>
    <w:rsid w:val="00B60115"/>
    <w:rsid w:val="00B82009"/>
    <w:rsid w:val="00BC6F52"/>
    <w:rsid w:val="00C06009"/>
    <w:rsid w:val="00C53B93"/>
    <w:rsid w:val="00C62FBF"/>
    <w:rsid w:val="00CF03E8"/>
    <w:rsid w:val="00CF76EE"/>
    <w:rsid w:val="00D6165E"/>
    <w:rsid w:val="00DD2126"/>
    <w:rsid w:val="00DF7FA6"/>
    <w:rsid w:val="00E07991"/>
    <w:rsid w:val="00E360E1"/>
    <w:rsid w:val="00E45C96"/>
    <w:rsid w:val="00E86FA1"/>
    <w:rsid w:val="00EE4739"/>
    <w:rsid w:val="00F143C3"/>
    <w:rsid w:val="00F332F0"/>
    <w:rsid w:val="00F3501C"/>
    <w:rsid w:val="00F4339A"/>
    <w:rsid w:val="00F836BD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3FCA"/>
  <w15:chartTrackingRefBased/>
  <w15:docId w15:val="{9718AC12-6C35-471D-8973-3C3FFCF1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2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6447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447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4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7ED"/>
    <w:rPr>
      <w:b/>
      <w:bCs/>
    </w:rPr>
  </w:style>
  <w:style w:type="character" w:styleId="a5">
    <w:name w:val="Hyperlink"/>
    <w:basedOn w:val="a0"/>
    <w:uiPriority w:val="99"/>
    <w:unhideWhenUsed/>
    <w:rsid w:val="006447E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A42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uto-cursor-target">
    <w:name w:val="auto-cursor-target"/>
    <w:basedOn w:val="a"/>
    <w:rsid w:val="000A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luence-embedded-file-wrapper">
    <w:name w:val="confluence-embedded-file-wrapper"/>
    <w:basedOn w:val="a0"/>
    <w:rsid w:val="000A42CA"/>
  </w:style>
  <w:style w:type="character" w:customStyle="1" w:styleId="content">
    <w:name w:val="content"/>
    <w:basedOn w:val="a0"/>
    <w:rsid w:val="000A42CA"/>
  </w:style>
  <w:style w:type="character" w:customStyle="1" w:styleId="1">
    <w:name w:val="Заголовок1"/>
    <w:basedOn w:val="a0"/>
    <w:rsid w:val="000A42CA"/>
  </w:style>
  <w:style w:type="character" w:customStyle="1" w:styleId="phone">
    <w:name w:val="phone"/>
    <w:basedOn w:val="a0"/>
    <w:rsid w:val="000A42CA"/>
  </w:style>
  <w:style w:type="character" w:styleId="HTML">
    <w:name w:val="HTML Code"/>
    <w:basedOn w:val="a0"/>
    <w:uiPriority w:val="99"/>
    <w:semiHidden/>
    <w:unhideWhenUsed/>
    <w:rsid w:val="000A42CA"/>
    <w:rPr>
      <w:rFonts w:ascii="Courier New" w:eastAsia="Times New Roman" w:hAnsi="Courier New" w:cs="Courier New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A34B6D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8631C1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E360E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360E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360E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60E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60E1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E360E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8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81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2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431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11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47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942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no.tech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Поповская Ирина Васильевна</dc:creator>
  <cp:keywords/>
  <dc:description/>
  <cp:lastModifiedBy>Середкина Вероника Евгеньевна</cp:lastModifiedBy>
  <cp:revision>6</cp:revision>
  <dcterms:created xsi:type="dcterms:W3CDTF">2023-12-07T16:00:00Z</dcterms:created>
  <dcterms:modified xsi:type="dcterms:W3CDTF">2024-02-12T10:36:00Z</dcterms:modified>
</cp:coreProperties>
</file>