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5D389230" w:rsidR="003D258D" w:rsidRPr="005658BF" w:rsidRDefault="005658BF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1</w:t>
            </w:r>
            <w:r w:rsidR="00F675B0">
              <w:rPr>
                <w:rFonts w:ascii="Times New Roman" w:hAnsi="Times New Roman"/>
                <w:sz w:val="24"/>
                <w:szCs w:val="26"/>
              </w:rPr>
              <w:t>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2F69EE">
              <w:rPr>
                <w:rFonts w:ascii="Times New Roman" w:hAnsi="Times New Roman"/>
                <w:sz w:val="24"/>
                <w:szCs w:val="26"/>
              </w:rPr>
            </w:r>
            <w:r w:rsidR="002F69EE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01070A2E" w:rsidR="003D258D" w:rsidRPr="005658BF" w:rsidRDefault="005658BF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октября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2F69EE">
              <w:rPr>
                <w:rFonts w:ascii="Times New Roman" w:hAnsi="Times New Roman"/>
                <w:sz w:val="24"/>
                <w:szCs w:val="26"/>
              </w:rPr>
            </w:r>
            <w:r w:rsidR="002F69EE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1B297159" w:rsidR="003D258D" w:rsidRPr="005658BF" w:rsidRDefault="005658BF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Ч</w:t>
            </w:r>
            <w:r w:rsidR="00F675B0">
              <w:rPr>
                <w:rFonts w:ascii="Times New Roman" w:hAnsi="Times New Roman"/>
                <w:sz w:val="24"/>
                <w:szCs w:val="26"/>
              </w:rPr>
              <w:t>Е</w:t>
            </w:r>
            <w:r>
              <w:rPr>
                <w:rFonts w:ascii="Times New Roman" w:hAnsi="Times New Roman"/>
                <w:sz w:val="24"/>
                <w:szCs w:val="26"/>
              </w:rPr>
              <w:t>/24-1</w:t>
            </w:r>
            <w:r w:rsidR="00F675B0">
              <w:rPr>
                <w:rFonts w:ascii="Times New Roman" w:hAnsi="Times New Roman"/>
                <w:sz w:val="24"/>
                <w:szCs w:val="26"/>
              </w:rPr>
              <w:t>3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2F69EE">
              <w:rPr>
                <w:rFonts w:ascii="Times New Roman" w:hAnsi="Times New Roman"/>
                <w:sz w:val="24"/>
                <w:szCs w:val="26"/>
              </w:rPr>
            </w:r>
            <w:r w:rsidR="002F69EE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2F69EE">
              <w:rPr>
                <w:rFonts w:ascii="Times New Roman" w:hAnsi="Times New Roman"/>
                <w:sz w:val="24"/>
                <w:szCs w:val="26"/>
              </w:rPr>
            </w:r>
            <w:r w:rsidR="002F69EE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2F69EE">
              <w:rPr>
                <w:rFonts w:ascii="Times New Roman" w:hAnsi="Times New Roman"/>
                <w:sz w:val="24"/>
                <w:szCs w:val="26"/>
              </w:rPr>
            </w:r>
            <w:r w:rsidR="002F69EE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3D84F9E7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5658BF">
        <w:rPr>
          <w:rFonts w:ascii="Times New Roman" w:hAnsi="Times New Roman"/>
          <w:b/>
          <w:bCs/>
          <w:spacing w:val="-4"/>
          <w:szCs w:val="24"/>
          <w:lang w:val="en-US"/>
        </w:rPr>
        <w:t xml:space="preserve"> 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Ч</w:t>
      </w:r>
      <w:r w:rsidR="00F675B0">
        <w:rPr>
          <w:rFonts w:ascii="Times New Roman" w:hAnsi="Times New Roman"/>
          <w:bCs/>
          <w:i/>
          <w:color w:val="FF0000"/>
          <w:spacing w:val="-4"/>
          <w:szCs w:val="24"/>
        </w:rPr>
        <w:t>Е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/24-1</w:t>
      </w:r>
      <w:r w:rsidR="00F675B0">
        <w:rPr>
          <w:rFonts w:ascii="Times New Roman" w:hAnsi="Times New Roman"/>
          <w:bCs/>
          <w:i/>
          <w:color w:val="FF0000"/>
          <w:spacing w:val="-4"/>
          <w:szCs w:val="24"/>
        </w:rPr>
        <w:t>3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384B90E3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</w:t>
      </w:r>
      <w:r w:rsidR="00696062" w:rsidRPr="00696062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Кислород жидкий ГОСТ 6331-78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) для нужд </w:t>
      </w:r>
      <w:r w:rsidR="00F675B0" w:rsidRP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ООО </w:t>
      </w:r>
      <w:r w:rsid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«</w:t>
      </w:r>
      <w:proofErr w:type="spellStart"/>
      <w:r w:rsidR="00F675B0" w:rsidRP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Чермет</w:t>
      </w:r>
      <w:proofErr w:type="spellEnd"/>
      <w:r w:rsidR="00F675B0" w:rsidRP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-Екатеринбург</w:t>
      </w:r>
      <w:r w:rsid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</w:t>
      </w:r>
      <w:r w:rsidR="00F675B0" w:rsidRPr="00F675B0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3B9A74DF" w14:textId="77777777" w:rsidR="00696062" w:rsidRPr="00696062" w:rsidRDefault="006D488E" w:rsidP="00696062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696062" w:rsidRPr="00696062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2F825419" w:rsidR="006D488E" w:rsidRPr="005658BF" w:rsidRDefault="00696062" w:rsidP="00696062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696062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411725BC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472CE2E6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35E108B1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15173E54" w14:textId="77777777" w:rsidR="00696062" w:rsidRPr="005658BF" w:rsidRDefault="00696062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493E8617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2FA4D203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1198BB0" w14:textId="77777777" w:rsidR="00696062" w:rsidRDefault="00696062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54293FC2" w14:textId="77777777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  <w:sectPr w:rsidR="00696062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390ABF19" w14:textId="4ABD1DB3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Таблица №1</w:t>
      </w:r>
    </w:p>
    <w:tbl>
      <w:tblPr>
        <w:tblW w:w="14679" w:type="dxa"/>
        <w:tblLook w:val="04A0" w:firstRow="1" w:lastRow="0" w:firstColumn="1" w:lastColumn="0" w:noHBand="0" w:noVBand="1"/>
      </w:tblPr>
      <w:tblGrid>
        <w:gridCol w:w="545"/>
        <w:gridCol w:w="2110"/>
        <w:gridCol w:w="5222"/>
        <w:gridCol w:w="1904"/>
        <w:gridCol w:w="803"/>
        <w:gridCol w:w="1064"/>
        <w:gridCol w:w="959"/>
        <w:gridCol w:w="1199"/>
        <w:gridCol w:w="873"/>
      </w:tblGrid>
      <w:tr w:rsidR="00F675B0" w:rsidRPr="00F675B0" w14:paraId="268044C4" w14:textId="77777777" w:rsidTr="006E4B0D">
        <w:trPr>
          <w:trHeight w:val="94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7981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09E9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5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F696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945C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6C47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Обьем</w:t>
            </w:r>
            <w:proofErr w:type="spellEnd"/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месяц </w:t>
            </w:r>
            <w:r w:rsidRPr="00F675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(1т)</w:t>
            </w: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DE59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Разовая поставка </w:t>
            </w:r>
            <w:proofErr w:type="gramStart"/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баллонов  (</w:t>
            </w:r>
            <w:proofErr w:type="gramEnd"/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CE28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баллона или емкости </w:t>
            </w:r>
            <w:r w:rsidRPr="00F675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(1т)</w:t>
            </w: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957F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Обменный фонд баллонов (</w:t>
            </w:r>
            <w:proofErr w:type="spellStart"/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EF1F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Обьем</w:t>
            </w:r>
            <w:proofErr w:type="spellEnd"/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год </w:t>
            </w:r>
            <w:r w:rsidRPr="00F675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(1</w:t>
            </w:r>
            <w:proofErr w:type="gramStart"/>
            <w:r w:rsidRPr="00F675B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т)</w:t>
            </w: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End"/>
            <w:r w:rsidRPr="00F675B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</w:t>
            </w:r>
          </w:p>
        </w:tc>
      </w:tr>
      <w:tr w:rsidR="00F675B0" w:rsidRPr="00F675B0" w14:paraId="3F9C6F34" w14:textId="77777777" w:rsidTr="006E4B0D">
        <w:trPr>
          <w:trHeight w:val="4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D824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94BF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ГПЦ</w:t>
            </w:r>
          </w:p>
        </w:tc>
        <w:tc>
          <w:tcPr>
            <w:tcW w:w="5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6203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 ООО "</w:t>
            </w:r>
            <w:proofErr w:type="spellStart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Чермет</w:t>
            </w:r>
            <w:proofErr w:type="spellEnd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-Екатеринбург" 620017 Свердловская область, г. Екатеринбург ул. Фронтовых Бригад, 50а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0C3E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Кислород жидкий ГОСТ 6331-</w:t>
            </w: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78 (1т)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89CE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7129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1D1F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DF0B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65FD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</w:tr>
      <w:tr w:rsidR="00F675B0" w:rsidRPr="00F675B0" w14:paraId="7ED9600D" w14:textId="77777777" w:rsidTr="006E4B0D">
        <w:trPr>
          <w:trHeight w:val="4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04FD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5BB7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Уктус-2</w:t>
            </w:r>
          </w:p>
        </w:tc>
        <w:tc>
          <w:tcPr>
            <w:tcW w:w="5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546C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 ООО "</w:t>
            </w:r>
            <w:proofErr w:type="spellStart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Чермет</w:t>
            </w:r>
            <w:proofErr w:type="spellEnd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-Екатеринбург" 620024 Свердловская область, г. Екатеринбург, пер. </w:t>
            </w:r>
            <w:proofErr w:type="spellStart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Саранинский</w:t>
            </w:r>
            <w:proofErr w:type="spellEnd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5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7E04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1D92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33C5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DC37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070C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FB67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</w:tr>
      <w:tr w:rsidR="00F675B0" w:rsidRPr="00F675B0" w14:paraId="53CF89A5" w14:textId="77777777" w:rsidTr="006E4B0D">
        <w:trPr>
          <w:trHeight w:val="4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D76B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1815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Первоуральск</w:t>
            </w:r>
          </w:p>
        </w:tc>
        <w:tc>
          <w:tcPr>
            <w:tcW w:w="5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D357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 ООО "Чермет-Екатеринбург"623101 Свердловская область, г. Первоуральск, ул. Кольцевая, 11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9829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116C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1C60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54EF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284C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AC6C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</w:t>
            </w:r>
          </w:p>
        </w:tc>
      </w:tr>
      <w:tr w:rsidR="00F675B0" w:rsidRPr="00F675B0" w14:paraId="27961E02" w14:textId="77777777" w:rsidTr="006E4B0D">
        <w:trPr>
          <w:trHeight w:val="4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53AF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4B1F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Тюмень-1</w:t>
            </w:r>
          </w:p>
        </w:tc>
        <w:tc>
          <w:tcPr>
            <w:tcW w:w="5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C956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 ООО "</w:t>
            </w:r>
            <w:proofErr w:type="spellStart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Чермет</w:t>
            </w:r>
            <w:proofErr w:type="spellEnd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-Екатеринбург" 625029 Тюменская область, г. Тюмень, ул. Тимофея </w:t>
            </w:r>
            <w:proofErr w:type="spellStart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Чаркова</w:t>
            </w:r>
            <w:proofErr w:type="spellEnd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16/1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E9B9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0CE3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4087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2946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3F0B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4FF5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</w:tr>
      <w:tr w:rsidR="00F675B0" w:rsidRPr="00F675B0" w14:paraId="5310D4B4" w14:textId="77777777" w:rsidTr="006E4B0D">
        <w:trPr>
          <w:trHeight w:val="4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E873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66AF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Тюмень-2</w:t>
            </w:r>
          </w:p>
        </w:tc>
        <w:tc>
          <w:tcPr>
            <w:tcW w:w="5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186D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 ООО "</w:t>
            </w:r>
            <w:proofErr w:type="spellStart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Чермет</w:t>
            </w:r>
            <w:proofErr w:type="spellEnd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-Екатеринбург" 625014 Тюменская область, г. Тюмень, ул. Чекистов, 36 </w:t>
            </w:r>
            <w:proofErr w:type="spellStart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</w:t>
            </w:r>
            <w:proofErr w:type="spellEnd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C0B2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683A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1A6A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27D4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D7A4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906F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</w:tr>
      <w:tr w:rsidR="00F675B0" w:rsidRPr="00F675B0" w14:paraId="142088C4" w14:textId="77777777" w:rsidTr="006E4B0D">
        <w:trPr>
          <w:trHeight w:val="4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EA30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0363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Тобольск</w:t>
            </w:r>
          </w:p>
        </w:tc>
        <w:tc>
          <w:tcPr>
            <w:tcW w:w="5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BF89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 ООО "</w:t>
            </w:r>
            <w:proofErr w:type="spellStart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Чермет</w:t>
            </w:r>
            <w:proofErr w:type="spellEnd"/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-Екатеринбург" 626128 Тюменская область, г. Тобольск, адрес: БСИ2, Квартал 2, стр.4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CB0E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Кислород жидкий ГОСТ 6331-78 (1т)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9B39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A9F5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CE416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EFCB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0361" w14:textId="77777777" w:rsidR="00F675B0" w:rsidRPr="00F675B0" w:rsidRDefault="00F675B0" w:rsidP="00F67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</w:tr>
    </w:tbl>
    <w:p w14:paraId="52B9CF9E" w14:textId="77777777" w:rsidR="002E6F3C" w:rsidRPr="005658BF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EBAF937" w14:textId="77777777" w:rsidR="0037638D" w:rsidRDefault="0037638D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37638D" w:rsidSect="00696062">
          <w:pgSz w:w="16838" w:h="11906" w:orient="landscape"/>
          <w:pgMar w:top="1276" w:right="851" w:bottom="850" w:left="1134" w:header="340" w:footer="708" w:gutter="0"/>
          <w:cols w:space="708"/>
          <w:docGrid w:linePitch="360"/>
        </w:sectPr>
      </w:pPr>
    </w:p>
    <w:p w14:paraId="4E8990E2" w14:textId="31986386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2F69EE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20</w:t>
      </w:r>
      <w:bookmarkStart w:id="8" w:name="_GoBack"/>
      <w:bookmarkEnd w:id="8"/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</w:t>
      </w:r>
      <w:r w:rsidR="00F675B0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34958141" w14:textId="77777777" w:rsidR="00F675B0" w:rsidRPr="005658BF" w:rsidRDefault="00F675B0" w:rsidP="00F675B0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668C6EFB" w14:textId="77777777" w:rsidR="00F675B0" w:rsidRDefault="00F675B0" w:rsidP="00F675B0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Кудреватых Светлана Евгеньевна</w:t>
      </w:r>
      <w:r w:rsidRPr="00A728DF">
        <w:rPr>
          <w:rFonts w:ascii="Times New Roman" w:hAnsi="Times New Roman"/>
        </w:rPr>
        <w:t xml:space="preserve"> </w:t>
      </w:r>
    </w:p>
    <w:p w14:paraId="348A8141" w14:textId="77777777" w:rsidR="00F675B0" w:rsidRPr="006D0B9E" w:rsidRDefault="00F675B0" w:rsidP="00F675B0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т.: 8 (495) 663-12-58 доб. 0133</w:t>
      </w:r>
    </w:p>
    <w:p w14:paraId="408D6DEF" w14:textId="77777777" w:rsidR="00F675B0" w:rsidRPr="006D0B9E" w:rsidRDefault="00F675B0" w:rsidP="00F675B0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+7(900)376-60-40</w:t>
      </w:r>
    </w:p>
    <w:p w14:paraId="0CBF4311" w14:textId="77777777" w:rsidR="00F675B0" w:rsidRPr="005658BF" w:rsidRDefault="00F675B0" w:rsidP="00F675B0">
      <w:pPr>
        <w:spacing w:after="0" w:line="240" w:lineRule="auto"/>
        <w:rPr>
          <w:rFonts w:ascii="Times New Roman" w:hAnsi="Times New Roman"/>
        </w:rPr>
      </w:pPr>
      <w:r w:rsidRPr="006D0B9E">
        <w:rPr>
          <w:rFonts w:ascii="Times New Roman" w:hAnsi="Times New Roman"/>
        </w:rPr>
        <w:t>s.kudrevatykh@translom.ru</w:t>
      </w:r>
    </w:p>
    <w:p w14:paraId="3EED5B91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37638D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6FEF" w14:textId="77777777" w:rsidR="00BA6BAE" w:rsidRDefault="00BA6BAE" w:rsidP="00190DB5">
      <w:pPr>
        <w:spacing w:after="0" w:line="240" w:lineRule="auto"/>
      </w:pPr>
      <w:r>
        <w:separator/>
      </w:r>
    </w:p>
  </w:endnote>
  <w:endnote w:type="continuationSeparator" w:id="0">
    <w:p w14:paraId="0168302F" w14:textId="77777777" w:rsidR="00BA6BAE" w:rsidRDefault="00BA6BAE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0D0F" w14:textId="77777777" w:rsidR="00BA6BAE" w:rsidRDefault="00BA6BAE" w:rsidP="00190DB5">
      <w:pPr>
        <w:spacing w:after="0" w:line="240" w:lineRule="auto"/>
      </w:pPr>
      <w:r>
        <w:separator/>
      </w:r>
    </w:p>
  </w:footnote>
  <w:footnote w:type="continuationSeparator" w:id="0">
    <w:p w14:paraId="5511814C" w14:textId="77777777" w:rsidR="00BA6BAE" w:rsidRDefault="00BA6BAE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69EE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7638D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96062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CF586B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560F1"/>
    <w:rsid w:val="00F6554E"/>
    <w:rsid w:val="00F67428"/>
    <w:rsid w:val="00F675B0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4E5FA-E422-4404-8D5D-7CE687584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25</cp:revision>
  <cp:lastPrinted>2018-07-25T12:07:00Z</cp:lastPrinted>
  <dcterms:created xsi:type="dcterms:W3CDTF">2024-07-01T12:57:00Z</dcterms:created>
  <dcterms:modified xsi:type="dcterms:W3CDTF">2024-11-14T07:00:00Z</dcterms:modified>
</cp:coreProperties>
</file>