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0B" w:rsidRPr="007349FB" w:rsidRDefault="00BB250B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D70EE" w:rsidRPr="00107EC4" w:rsidRDefault="005D70EE" w:rsidP="005D70EE">
      <w:pPr>
        <w:jc w:val="center"/>
        <w:rPr>
          <w:b/>
          <w:bCs/>
          <w:sz w:val="22"/>
          <w:szCs w:val="22"/>
        </w:rPr>
      </w:pPr>
      <w:r w:rsidRPr="00107EC4">
        <w:rPr>
          <w:b/>
          <w:bCs/>
          <w:sz w:val="22"/>
          <w:szCs w:val="22"/>
        </w:rPr>
        <w:t>ТЕХНИЧЕСКОЕ ЗАДАНИЕ</w:t>
      </w:r>
    </w:p>
    <w:p w:rsidR="00070161" w:rsidRPr="00107EC4" w:rsidRDefault="005D70EE" w:rsidP="00C03BAD">
      <w:pPr>
        <w:jc w:val="center"/>
        <w:rPr>
          <w:b/>
          <w:sz w:val="22"/>
          <w:szCs w:val="22"/>
        </w:rPr>
      </w:pPr>
      <w:r w:rsidRPr="00107EC4">
        <w:rPr>
          <w:b/>
          <w:sz w:val="22"/>
          <w:szCs w:val="22"/>
        </w:rPr>
        <w:t xml:space="preserve">на выполнение </w:t>
      </w:r>
      <w:r w:rsidR="00070161" w:rsidRPr="00107EC4">
        <w:rPr>
          <w:b/>
          <w:sz w:val="22"/>
          <w:szCs w:val="22"/>
        </w:rPr>
        <w:t>строительно-монтажных работ по объекту:</w:t>
      </w:r>
    </w:p>
    <w:p w:rsidR="00C71A76" w:rsidRPr="00107EC4" w:rsidRDefault="00903CF9" w:rsidP="00903CF9">
      <w:pPr>
        <w:jc w:val="center"/>
        <w:rPr>
          <w:b/>
          <w:lang w:eastAsia="en-US"/>
        </w:rPr>
      </w:pPr>
      <w:r w:rsidRPr="00107EC4">
        <w:rPr>
          <w:b/>
          <w:lang w:eastAsia="en-US"/>
        </w:rPr>
        <w:t xml:space="preserve"> капитальный ремонт здания служебно-технического инв. №10020</w:t>
      </w:r>
    </w:p>
    <w:p w:rsidR="00070161" w:rsidRPr="007349FB" w:rsidRDefault="00070161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63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08"/>
        <w:gridCol w:w="7228"/>
      </w:tblGrid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ind w:left="298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Наименование, основные характеристики и объемы выполняемых работ: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903CF9" w:rsidP="00C03BAD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Выполнение капитального ремонта здания служебно-технического инв. №10020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Заказчик (филиал)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903CF9" w:rsidP="00C03BAD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Акционерное общество «Первая Грузовая Компания» Саратовский филиал.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EC4" w:rsidRPr="00107EC4" w:rsidRDefault="00107EC4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Промывочно-пропарочная станция Татьянка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Российская Федерация, г. Волгоград,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Красноармейский р-н, ст. Татьянка,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 xml:space="preserve">Промывочно-пропарочная станция 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Саратовского филиала АО «ПГК».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тел.: (8442) 90-62-22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факс: (8442) 90-62-21</w:t>
            </w:r>
          </w:p>
          <w:p w:rsidR="008742AF" w:rsidRPr="00107EC4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  <w:lang w:val="en-US"/>
              </w:rPr>
            </w:pPr>
            <w:r w:rsidRPr="008A4E52">
              <w:rPr>
                <w:sz w:val="22"/>
                <w:szCs w:val="22"/>
                <w:lang w:val="en-US"/>
              </w:rPr>
              <w:t>e-mail: EvtushenkoEV@pgkweb.ru</w:t>
            </w:r>
          </w:p>
        </w:tc>
      </w:tr>
      <w:tr w:rsidR="00AD08D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 w:rsidP="00C03BAD">
            <w:pPr>
              <w:pStyle w:val="a8"/>
              <w:numPr>
                <w:ilvl w:val="0"/>
                <w:numId w:val="13"/>
              </w:numPr>
              <w:spacing w:line="240" w:lineRule="exact"/>
              <w:ind w:left="140" w:right="277" w:firstLine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C86A49" w:rsidP="003618FA">
            <w:pPr>
              <w:widowControl/>
              <w:numPr>
                <w:ilvl w:val="0"/>
                <w:numId w:val="10"/>
              </w:numPr>
              <w:tabs>
                <w:tab w:val="left" w:pos="250"/>
              </w:tabs>
              <w:autoSpaceDE/>
              <w:autoSpaceDN/>
              <w:adjustRightInd/>
              <w:spacing w:before="60"/>
              <w:ind w:left="140" w:right="277"/>
              <w:rPr>
                <w:sz w:val="22"/>
                <w:szCs w:val="22"/>
              </w:rPr>
            </w:pPr>
            <w:bookmarkStart w:id="0" w:name="_GoBack"/>
            <w:bookmarkEnd w:id="0"/>
            <w:r w:rsidRPr="00107EC4">
              <w:rPr>
                <w:sz w:val="22"/>
                <w:szCs w:val="22"/>
              </w:rPr>
              <w:t>кол-во в рабочих/ календарных д</w:t>
            </w:r>
            <w:r w:rsidR="00070201" w:rsidRPr="00107EC4">
              <w:rPr>
                <w:sz w:val="22"/>
                <w:szCs w:val="22"/>
              </w:rPr>
              <w:t>ней</w:t>
            </w:r>
            <w:r w:rsidRPr="00107EC4">
              <w:rPr>
                <w:sz w:val="22"/>
                <w:szCs w:val="22"/>
              </w:rPr>
              <w:t xml:space="preserve"> </w:t>
            </w:r>
            <w:r w:rsidR="00903CF9" w:rsidRPr="00107EC4">
              <w:rPr>
                <w:sz w:val="22"/>
                <w:szCs w:val="22"/>
              </w:rPr>
              <w:t xml:space="preserve">- </w:t>
            </w:r>
            <w:r w:rsidR="00903CF9" w:rsidRPr="00107EC4">
              <w:rPr>
                <w:b/>
                <w:sz w:val="22"/>
                <w:szCs w:val="22"/>
              </w:rPr>
              <w:t>90 (девяносто)</w:t>
            </w:r>
            <w:r w:rsidR="00903CF9" w:rsidRPr="00107EC4">
              <w:rPr>
                <w:sz w:val="22"/>
                <w:szCs w:val="22"/>
              </w:rPr>
              <w:t xml:space="preserve"> календарных дней с момента подписания акта приема - передачи площадки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5D70EE" w:rsidRPr="00107EC4" w:rsidRDefault="005D70EE" w:rsidP="00C03BAD">
            <w:pPr>
              <w:pStyle w:val="a8"/>
              <w:numPr>
                <w:ilvl w:val="0"/>
                <w:numId w:val="14"/>
              </w:numPr>
              <w:ind w:left="140" w:right="277"/>
              <w:jc w:val="both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задержки Подрядчиком начала выполнения Работ более чем на 20 календарных дней по причинам, не зависящим от Заказчика;</w:t>
            </w:r>
          </w:p>
          <w:p w:rsidR="005D70EE" w:rsidRPr="00107EC4" w:rsidRDefault="005D70EE" w:rsidP="00C03BAD">
            <w:pPr>
              <w:pStyle w:val="a8"/>
              <w:numPr>
                <w:ilvl w:val="0"/>
                <w:numId w:val="14"/>
              </w:numPr>
              <w:tabs>
                <w:tab w:val="left" w:pos="250"/>
              </w:tabs>
              <w:spacing w:before="60"/>
              <w:ind w:left="140" w:right="277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5D70EE" w:rsidRPr="00107EC4" w:rsidTr="00C03BAD">
        <w:trPr>
          <w:trHeight w:val="370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0EE" w:rsidRPr="00107EC4" w:rsidRDefault="005D70EE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jc w:val="center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 объекта реконструкции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рабочей документации.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результату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903CF9" w:rsidP="00C03BAD">
            <w:pPr>
              <w:widowControl/>
              <w:autoSpaceDE/>
              <w:autoSpaceDN/>
              <w:adjustRightInd/>
              <w:spacing w:before="180" w:line="240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084E79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объемам выполняемых работ</w:t>
            </w:r>
            <w:r w:rsidRPr="00107E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3F2875" w:rsidP="00C27DD5">
            <w:pPr>
              <w:spacing w:line="276" w:lineRule="auto"/>
              <w:ind w:left="135" w:right="131"/>
              <w:jc w:val="both"/>
              <w:rPr>
                <w:sz w:val="22"/>
                <w:szCs w:val="22"/>
                <w:lang w:eastAsia="en-US"/>
              </w:rPr>
            </w:pPr>
            <w:r w:rsidRPr="00C27DD5">
              <w:rPr>
                <w:sz w:val="22"/>
                <w:szCs w:val="22"/>
                <w:lang w:eastAsia="en-US"/>
              </w:rPr>
              <w:t>Работы выполнять в соответствии с перечнем разделов приведенном в п. 11 Технического задания.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производству и последовательности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365C63">
            <w:pPr>
              <w:spacing w:line="276" w:lineRule="auto"/>
              <w:ind w:left="135" w:right="131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До начала работ разработать, оформить и согласовать с Заказчиком:</w:t>
            </w:r>
          </w:p>
          <w:p w:rsidR="0003548C" w:rsidRPr="00107EC4" w:rsidRDefault="0003548C" w:rsidP="00365C63">
            <w:pPr>
              <w:spacing w:line="276" w:lineRule="auto"/>
              <w:ind w:left="135" w:right="131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проект производства работ.</w:t>
            </w:r>
          </w:p>
          <w:p w:rsidR="0003548C" w:rsidRPr="00107EC4" w:rsidRDefault="0003548C" w:rsidP="00365C63">
            <w:pPr>
              <w:spacing w:line="276" w:lineRule="auto"/>
              <w:ind w:left="135" w:right="131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Работы выполняются на основании оформленных документов:</w:t>
            </w:r>
          </w:p>
          <w:p w:rsidR="0003548C" w:rsidRPr="00107EC4" w:rsidRDefault="0003548C" w:rsidP="00365C63">
            <w:pPr>
              <w:spacing w:line="276" w:lineRule="auto"/>
              <w:ind w:left="135" w:right="131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акт-допуск для производства монтажных работ оборудования на территории действующего предприятия;</w:t>
            </w:r>
          </w:p>
          <w:p w:rsidR="0003548C" w:rsidRPr="00107EC4" w:rsidRDefault="0003548C" w:rsidP="00365C63">
            <w:pPr>
              <w:spacing w:line="276" w:lineRule="auto"/>
              <w:ind w:left="135" w:right="131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наряд-допуск на работы в зоне действующих опасных производственных факторов;</w:t>
            </w:r>
          </w:p>
          <w:p w:rsidR="0003548C" w:rsidRPr="00107EC4" w:rsidRDefault="0003548C" w:rsidP="00365C63">
            <w:pPr>
              <w:spacing w:line="276" w:lineRule="auto"/>
              <w:ind w:left="135" w:right="131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наряд-допуск на производство работ в зоне действия технических сооружений и устройств железных дорог (согласно распоряжению ОАО «РЖД», от 30.08.2013 № 1932);</w:t>
            </w:r>
          </w:p>
          <w:p w:rsidR="005D70EE" w:rsidRPr="00107EC4" w:rsidRDefault="0003548C" w:rsidP="00365C63">
            <w:pPr>
              <w:widowControl/>
              <w:autoSpaceDE/>
              <w:autoSpaceDN/>
              <w:adjustRightInd/>
              <w:spacing w:line="245" w:lineRule="exact"/>
              <w:ind w:left="135" w:right="131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 xml:space="preserve">- разрешение по организации безопасного проведения огневых работ на </w:t>
            </w:r>
            <w:r w:rsidR="00F85F9B" w:rsidRPr="00107EC4">
              <w:rPr>
                <w:sz w:val="22"/>
                <w:szCs w:val="22"/>
                <w:lang w:eastAsia="en-US"/>
              </w:rPr>
              <w:t>объекте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6C3F96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6C3F96">
              <w:rPr>
                <w:b/>
                <w:sz w:val="22"/>
                <w:szCs w:val="22"/>
              </w:rPr>
              <w:t>Применяемые стандарты, СНиПы и прочие правила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E79" w:rsidRDefault="00084E79" w:rsidP="00084E79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документацией, в том числе, но не ограничиваясь:</w:t>
            </w:r>
          </w:p>
          <w:p w:rsidR="00084E79" w:rsidRDefault="00084E79" w:rsidP="00084E79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СП 22.13330.2016 Основания зданий и сооружений</w:t>
            </w:r>
          </w:p>
          <w:p w:rsidR="00084E79" w:rsidRDefault="00084E79" w:rsidP="00084E79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СП 28.13330.2017 "Защита строительных конструкций от коррозии. Актуализированная редакция СНиП 2.03.11-85" (с Изменениями N 1, 2, 3)</w:t>
            </w:r>
          </w:p>
          <w:p w:rsidR="00084E79" w:rsidRDefault="00084E79" w:rsidP="00084E79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>СП 63.13330.2012 Бетонные и железобетонные конструкции. Основные положения</w:t>
            </w:r>
          </w:p>
          <w:p w:rsidR="00084E79" w:rsidRDefault="00084E79" w:rsidP="00084E79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 70.13330.2012 Несущие и ограждающие конструкции. Актуализированная редакция СНиП 3.03.01-87 (с Изменениями N 1, 3, 4)</w:t>
            </w:r>
          </w:p>
          <w:p w:rsidR="00084E79" w:rsidRDefault="00084E79" w:rsidP="00084E79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 48.13330.2019 Организация строительства СНиП 12-01-2004 (с Изменением N 1)</w:t>
            </w:r>
          </w:p>
          <w:p w:rsidR="00084E79" w:rsidRDefault="00084E79" w:rsidP="00084E79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-СНиП 12-03-2001 Безопасность труда в строительстве;</w:t>
            </w:r>
          </w:p>
          <w:p w:rsidR="00084E79" w:rsidRDefault="00084E79" w:rsidP="00084E79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-РД-11-05-2007</w:t>
            </w:r>
            <w:r>
              <w:t xml:space="preserve"> </w:t>
            </w:r>
            <w:r>
              <w:rPr>
                <w:sz w:val="22"/>
                <w:szCs w:val="22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5D70EE" w:rsidRPr="006C3F96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применяемым материалам и оборудованию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Оборудование должно иметь сертификаты соответствия техническим регламентам.</w:t>
            </w:r>
          </w:p>
        </w:tc>
      </w:tr>
      <w:tr w:rsidR="0003548C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Требования к выполняемым работам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E79" w:rsidRDefault="00084E79" w:rsidP="00365C63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выполняются в соответствии с </w:t>
            </w:r>
            <w:r w:rsidR="003F2875">
              <w:rPr>
                <w:sz w:val="22"/>
                <w:szCs w:val="22"/>
              </w:rPr>
              <w:t>Ведомостью объемов работ. Рабочая документация,</w:t>
            </w:r>
            <w:r>
              <w:rPr>
                <w:sz w:val="22"/>
                <w:szCs w:val="22"/>
              </w:rPr>
              <w:t xml:space="preserve"> сметные расчеты предоставляются в информационных целях. Объемы работ должны определятся Подрядчиком на основании рабочей документации:</w:t>
            </w:r>
          </w:p>
          <w:tbl>
            <w:tblPr>
              <w:tblStyle w:val="ptb3"/>
              <w:tblW w:w="69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691"/>
              <w:gridCol w:w="3545"/>
            </w:tblGrid>
            <w:tr w:rsidR="00084E79" w:rsidRPr="00107EC4" w:rsidTr="006624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724" w:type="dxa"/>
                  <w:noWrap/>
                </w:tcPr>
                <w:p w:rsidR="00084E79" w:rsidRPr="00107EC4" w:rsidRDefault="00084E79" w:rsidP="00084E79">
                  <w:pPr>
                    <w:pStyle w:val="ptb2"/>
                    <w:rPr>
                      <w:rFonts w:cs="Arial"/>
                      <w:b w:val="0"/>
                      <w:sz w:val="22"/>
                    </w:rPr>
                  </w:pPr>
                  <w:r w:rsidRPr="00107EC4">
                    <w:rPr>
                      <w:rFonts w:cs="Arial"/>
                      <w:b w:val="0"/>
                      <w:sz w:val="22"/>
                    </w:rPr>
                    <w:t>Номер тома</w:t>
                  </w:r>
                </w:p>
              </w:tc>
              <w:tc>
                <w:tcPr>
                  <w:tcW w:w="2691" w:type="dxa"/>
                </w:tcPr>
                <w:p w:rsidR="00084E79" w:rsidRPr="00107EC4" w:rsidRDefault="00084E79" w:rsidP="00084E79">
                  <w:pPr>
                    <w:pStyle w:val="ptb2"/>
                    <w:rPr>
                      <w:rFonts w:cs="Arial"/>
                      <w:b w:val="0"/>
                      <w:sz w:val="22"/>
                    </w:rPr>
                  </w:pPr>
                  <w:r w:rsidRPr="00107EC4">
                    <w:rPr>
                      <w:rFonts w:cs="Arial"/>
                      <w:b w:val="0"/>
                      <w:sz w:val="22"/>
                    </w:rPr>
                    <w:t>Обозначение</w:t>
                  </w:r>
                </w:p>
              </w:tc>
              <w:tc>
                <w:tcPr>
                  <w:tcW w:w="3545" w:type="dxa"/>
                  <w:noWrap/>
                </w:tcPr>
                <w:p w:rsidR="00084E79" w:rsidRPr="00107EC4" w:rsidRDefault="00084E79" w:rsidP="00084E79">
                  <w:pPr>
                    <w:pStyle w:val="ptb2"/>
                    <w:rPr>
                      <w:rFonts w:cs="Arial"/>
                      <w:b w:val="0"/>
                      <w:sz w:val="22"/>
                    </w:rPr>
                  </w:pPr>
                  <w:r w:rsidRPr="00107EC4">
                    <w:rPr>
                      <w:rFonts w:cs="Arial"/>
                      <w:b w:val="0"/>
                      <w:sz w:val="22"/>
                    </w:rPr>
                    <w:t>Наименование</w:t>
                  </w:r>
                </w:p>
              </w:tc>
            </w:tr>
            <w:tr w:rsidR="00084E79" w:rsidRPr="00107EC4" w:rsidTr="006624D5">
              <w:trPr>
                <w:trHeight w:val="272"/>
              </w:trPr>
              <w:tc>
                <w:tcPr>
                  <w:tcW w:w="724" w:type="dxa"/>
                  <w:noWrap/>
                </w:tcPr>
                <w:p w:rsidR="00084E79" w:rsidRPr="00107EC4" w:rsidRDefault="00084E79" w:rsidP="00084E79">
                  <w:pPr>
                    <w:pStyle w:val="ptb1"/>
                    <w:jc w:val="center"/>
                    <w:rPr>
                      <w:rFonts w:cs="Arial"/>
                      <w:sz w:val="22"/>
                    </w:rPr>
                  </w:pPr>
                  <w:r w:rsidRPr="00107EC4">
                    <w:rPr>
                      <w:rFonts w:cs="Arial"/>
                      <w:sz w:val="22"/>
                    </w:rPr>
                    <w:t>1</w:t>
                  </w:r>
                </w:p>
              </w:tc>
              <w:tc>
                <w:tcPr>
                  <w:tcW w:w="2691" w:type="dxa"/>
                </w:tcPr>
                <w:p w:rsidR="00084E79" w:rsidRPr="00107EC4" w:rsidRDefault="00084E79" w:rsidP="00084E79">
                  <w:pPr>
                    <w:pStyle w:val="ptb1"/>
                    <w:rPr>
                      <w:rFonts w:cs="Arial"/>
                      <w:sz w:val="22"/>
                      <w:lang w:val="en-US"/>
                    </w:rPr>
                  </w:pPr>
                  <w:r w:rsidRPr="00107EC4">
                    <w:rPr>
                      <w:rFonts w:cs="Arial"/>
                      <w:bCs/>
                      <w:sz w:val="22"/>
                    </w:rPr>
                    <w:t xml:space="preserve">АДМ-45/22-РД-8-АС </w:t>
                  </w:r>
                  <w:r w:rsidRPr="00107EC4">
                    <w:rPr>
                      <w:rFonts w:cs="Arial"/>
                      <w:bCs/>
                      <w:sz w:val="22"/>
                      <w:lang w:val="en-US"/>
                    </w:rPr>
                    <w:t>Rev 2</w:t>
                  </w:r>
                </w:p>
              </w:tc>
              <w:tc>
                <w:tcPr>
                  <w:tcW w:w="3545" w:type="dxa"/>
                  <w:noWrap/>
                </w:tcPr>
                <w:p w:rsidR="00084E79" w:rsidRPr="00107EC4" w:rsidRDefault="00084E79" w:rsidP="00084E79">
                  <w:pPr>
                    <w:pStyle w:val="ptb1"/>
                    <w:rPr>
                      <w:rFonts w:cs="Arial"/>
                      <w:sz w:val="22"/>
                    </w:rPr>
                  </w:pPr>
                  <w:r w:rsidRPr="00107EC4">
                    <w:rPr>
                      <w:rFonts w:cs="Arial"/>
                      <w:sz w:val="22"/>
                    </w:rPr>
                    <w:t>Архитектурно-строительные решения</w:t>
                  </w:r>
                </w:p>
              </w:tc>
            </w:tr>
            <w:tr w:rsidR="00084E79" w:rsidRPr="00107EC4" w:rsidTr="006624D5">
              <w:trPr>
                <w:trHeight w:val="272"/>
              </w:trPr>
              <w:tc>
                <w:tcPr>
                  <w:tcW w:w="724" w:type="dxa"/>
                  <w:noWrap/>
                </w:tcPr>
                <w:p w:rsidR="00084E79" w:rsidRPr="00107EC4" w:rsidRDefault="00084E79" w:rsidP="00084E79">
                  <w:pPr>
                    <w:pStyle w:val="ptb1"/>
                    <w:jc w:val="center"/>
                    <w:rPr>
                      <w:rFonts w:cs="Arial"/>
                      <w:sz w:val="22"/>
                    </w:rPr>
                  </w:pPr>
                  <w:r w:rsidRPr="00107EC4">
                    <w:rPr>
                      <w:rFonts w:cs="Arial"/>
                      <w:sz w:val="22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:rsidR="00084E79" w:rsidRPr="00107EC4" w:rsidRDefault="00084E79">
                  <w:pPr>
                    <w:pStyle w:val="ptb1"/>
                    <w:rPr>
                      <w:rFonts w:cs="Arial"/>
                      <w:bCs/>
                      <w:sz w:val="22"/>
                    </w:rPr>
                  </w:pPr>
                  <w:r w:rsidRPr="00107EC4">
                    <w:rPr>
                      <w:rFonts w:cs="Arial"/>
                      <w:bCs/>
                      <w:sz w:val="22"/>
                    </w:rPr>
                    <w:t>АДМ-45/22-РД-00-ПЗ</w:t>
                  </w:r>
                  <w:r w:rsidR="00782665">
                    <w:t xml:space="preserve"> </w:t>
                  </w:r>
                  <w:r w:rsidR="00782665" w:rsidRPr="00782665">
                    <w:rPr>
                      <w:rFonts w:cs="Arial"/>
                      <w:bCs/>
                      <w:sz w:val="22"/>
                    </w:rPr>
                    <w:t>rev</w:t>
                  </w:r>
                  <w:r w:rsidR="00782665">
                    <w:rPr>
                      <w:rFonts w:cs="Arial"/>
                      <w:bCs/>
                      <w:sz w:val="22"/>
                    </w:rPr>
                    <w:t>1</w:t>
                  </w:r>
                </w:p>
              </w:tc>
              <w:tc>
                <w:tcPr>
                  <w:tcW w:w="3545" w:type="dxa"/>
                  <w:noWrap/>
                </w:tcPr>
                <w:p w:rsidR="00084E79" w:rsidRPr="00107EC4" w:rsidRDefault="00084E79" w:rsidP="00084E79">
                  <w:pPr>
                    <w:pStyle w:val="ptb1"/>
                    <w:rPr>
                      <w:rFonts w:cs="Arial"/>
                      <w:sz w:val="22"/>
                    </w:rPr>
                  </w:pPr>
                  <w:r w:rsidRPr="00107EC4">
                    <w:rPr>
                      <w:rFonts w:cs="Arial"/>
                      <w:sz w:val="22"/>
                    </w:rPr>
                    <w:t>Пояснительная записка</w:t>
                  </w:r>
                </w:p>
              </w:tc>
            </w:tr>
            <w:tr w:rsidR="00084E79" w:rsidRPr="00107EC4" w:rsidTr="006624D5">
              <w:trPr>
                <w:trHeight w:val="272"/>
              </w:trPr>
              <w:tc>
                <w:tcPr>
                  <w:tcW w:w="724" w:type="dxa"/>
                  <w:noWrap/>
                </w:tcPr>
                <w:p w:rsidR="00084E79" w:rsidRPr="00107EC4" w:rsidRDefault="00084E79" w:rsidP="00084E79">
                  <w:pPr>
                    <w:pStyle w:val="ptb1"/>
                    <w:jc w:val="center"/>
                    <w:rPr>
                      <w:rFonts w:cs="Arial"/>
                      <w:sz w:val="22"/>
                    </w:rPr>
                  </w:pPr>
                  <w:r w:rsidRPr="00107EC4">
                    <w:rPr>
                      <w:rFonts w:cs="Arial"/>
                      <w:sz w:val="22"/>
                    </w:rPr>
                    <w:t>4</w:t>
                  </w:r>
                </w:p>
              </w:tc>
              <w:tc>
                <w:tcPr>
                  <w:tcW w:w="2691" w:type="dxa"/>
                </w:tcPr>
                <w:p w:rsidR="00084E79" w:rsidRPr="00107EC4" w:rsidRDefault="00084E79" w:rsidP="00084E79">
                  <w:pPr>
                    <w:pStyle w:val="ptb1"/>
                    <w:rPr>
                      <w:rFonts w:cs="Arial"/>
                      <w:bCs/>
                      <w:sz w:val="22"/>
                    </w:rPr>
                  </w:pPr>
                  <w:r w:rsidRPr="00107EC4">
                    <w:rPr>
                      <w:rFonts w:cs="Arial"/>
                      <w:bCs/>
                      <w:sz w:val="22"/>
                    </w:rPr>
                    <w:t>АДМ-45/22-РД-00-ПОС</w:t>
                  </w:r>
                  <w:r w:rsidR="00782665">
                    <w:t xml:space="preserve"> </w:t>
                  </w:r>
                  <w:r w:rsidR="00782665" w:rsidRPr="00782665">
                    <w:rPr>
                      <w:rFonts w:cs="Arial"/>
                      <w:bCs/>
                      <w:sz w:val="22"/>
                    </w:rPr>
                    <w:t>rev2</w:t>
                  </w:r>
                </w:p>
              </w:tc>
              <w:tc>
                <w:tcPr>
                  <w:tcW w:w="3545" w:type="dxa"/>
                  <w:noWrap/>
                </w:tcPr>
                <w:p w:rsidR="00084E79" w:rsidRPr="00107EC4" w:rsidRDefault="00084E79" w:rsidP="00084E79">
                  <w:pPr>
                    <w:pStyle w:val="ptb1"/>
                    <w:rPr>
                      <w:rFonts w:cs="Arial"/>
                      <w:sz w:val="22"/>
                    </w:rPr>
                  </w:pPr>
                  <w:r w:rsidRPr="00107EC4">
                    <w:rPr>
                      <w:rFonts w:cs="Arial"/>
                      <w:sz w:val="22"/>
                    </w:rPr>
                    <w:t>Проект организации строительства</w:t>
                  </w:r>
                </w:p>
              </w:tc>
            </w:tr>
          </w:tbl>
          <w:p w:rsidR="00084E79" w:rsidRPr="00107EC4" w:rsidRDefault="00084E79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right="277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Результаты выполненных работ должны соответствовать:</w:t>
            </w:r>
          </w:p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законов РФ, технических регламентов, нормативных документов и иных нормативно-правовых актов, регулирующих Строительную деятельность;</w:t>
            </w:r>
          </w:p>
          <w:p w:rsidR="00084E79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lastRenderedPageBreak/>
              <w:t>- требованиям рабочей документации</w:t>
            </w:r>
          </w:p>
          <w:p w:rsidR="005D70EE" w:rsidRPr="00107EC4" w:rsidRDefault="00084E79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требованиям технического задания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- 12</w:t>
            </w:r>
            <w:r w:rsidR="005D70EE" w:rsidRPr="00107EC4">
              <w:rPr>
                <w:sz w:val="22"/>
                <w:szCs w:val="22"/>
              </w:rPr>
              <w:t xml:space="preserve"> </w:t>
            </w:r>
            <w:r w:rsidR="005D70EE" w:rsidRPr="00107EC4">
              <w:rPr>
                <w:b/>
                <w:sz w:val="22"/>
                <w:szCs w:val="22"/>
              </w:rPr>
              <w:t>месяцев</w:t>
            </w:r>
            <w:r w:rsidR="005D70EE"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удержания  в размере </w:t>
            </w:r>
            <w:r w:rsidR="003618FA" w:rsidRPr="00107EC4">
              <w:rPr>
                <w:b/>
                <w:sz w:val="22"/>
                <w:szCs w:val="22"/>
              </w:rPr>
              <w:t>5</w:t>
            </w:r>
            <w:r w:rsidRPr="00107EC4">
              <w:rPr>
                <w:b/>
                <w:sz w:val="22"/>
                <w:szCs w:val="22"/>
              </w:rPr>
              <w:t xml:space="preserve"> %</w:t>
            </w:r>
            <w:r w:rsidRPr="00107EC4">
              <w:rPr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Размер гарантийного удержания </w:t>
            </w:r>
            <w:r w:rsidRPr="00107EC4">
              <w:rPr>
                <w:sz w:val="22"/>
                <w:szCs w:val="22"/>
              </w:rPr>
              <w:t>(в % от суммы договора)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Начальное требование по размеру гарантийных обязательств – 5% от суммы догово</w:t>
            </w:r>
            <w:r w:rsidR="003618FA" w:rsidRPr="00107EC4">
              <w:rPr>
                <w:sz w:val="22"/>
                <w:szCs w:val="22"/>
              </w:rPr>
              <w:t>ра. Уменьшение значения ниже 5</w:t>
            </w:r>
            <w:r w:rsidRPr="00107EC4">
              <w:rPr>
                <w:sz w:val="22"/>
                <w:szCs w:val="22"/>
              </w:rPr>
              <w:t>% не допускается.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Срок гарантийного удержания </w:t>
            </w:r>
            <w:r w:rsidRPr="00107EC4">
              <w:rPr>
                <w:sz w:val="22"/>
                <w:szCs w:val="22"/>
              </w:rPr>
              <w:t>(мес.)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Начальное требование по сроку гарантийного удержания – </w:t>
            </w:r>
            <w:r w:rsidR="003618FA" w:rsidRPr="00107EC4">
              <w:rPr>
                <w:b/>
                <w:sz w:val="22"/>
                <w:szCs w:val="22"/>
              </w:rPr>
              <w:t>12</w:t>
            </w:r>
            <w:r w:rsidRPr="00107EC4">
              <w:rPr>
                <w:b/>
                <w:sz w:val="22"/>
                <w:szCs w:val="22"/>
              </w:rPr>
              <w:t xml:space="preserve"> месяцев </w:t>
            </w:r>
            <w:r w:rsidRPr="00107EC4">
              <w:rPr>
                <w:sz w:val="22"/>
                <w:szCs w:val="22"/>
              </w:rPr>
              <w:t xml:space="preserve">со дня завершения Работ по Договору. 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Уменьшение значения не допускается.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Условия предварительных расчетов </w:t>
            </w:r>
            <w:r w:rsidRPr="00107EC4">
              <w:rPr>
                <w:sz w:val="22"/>
                <w:szCs w:val="22"/>
              </w:rPr>
              <w:t>(размер авансового платежа)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– оплата по факту выполнения работ и подписания КС-</w:t>
            </w:r>
            <w:r w:rsidR="00F85F9B" w:rsidRPr="00107EC4">
              <w:rPr>
                <w:sz w:val="22"/>
                <w:szCs w:val="22"/>
              </w:rPr>
              <w:t>2</w:t>
            </w:r>
            <w:r w:rsidRPr="00107EC4">
              <w:rPr>
                <w:sz w:val="22"/>
                <w:szCs w:val="22"/>
              </w:rPr>
              <w:t>/ КС-</w:t>
            </w:r>
            <w:r w:rsidR="00F85F9B" w:rsidRPr="00107EC4">
              <w:rPr>
                <w:sz w:val="22"/>
                <w:szCs w:val="22"/>
              </w:rPr>
              <w:t>3</w:t>
            </w:r>
            <w:r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случае срыва сроков выполнения работ или ненадлежащего исполнения взятых на себя обязательств по договору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Прочие и специальные требования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3618FA" w:rsidP="008A4E52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Выполнение работ в условиях повышенной пожарной опасности на территориях действующего предприятия без остановки производства.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по формированию сметной стоимости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 начала работ составить и согласовать с Заказчиком сметную документацию. Требования к сметной документации: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1. Общую стоимость работ определить путем составления Сводного сметного расчета и сводки затрат по проекту.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2. При разработке сметной документации использовать: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Отраслевую сметно-нормативную базу ОАО «РЖД» ОСНБЖ-2001 (с актуальными изменениями, действующими на момент выдачи документации),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- Порядок определения стоимости строительства объектов инфраструктуры железнодорожного транспорта и других объектов </w:t>
            </w:r>
            <w:r w:rsidRPr="00107EC4">
              <w:rPr>
                <w:sz w:val="22"/>
                <w:szCs w:val="22"/>
              </w:rPr>
              <w:lastRenderedPageBreak/>
              <w:t>ОАО «РЖД», утвержденный распоряжением ОАО «РЖД» от 29.12.2011 №2821р (со всеми изменениями)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Порядок определения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других объектов, утвержденных распоряжением ОАО» РЖД» от 29.12.2009 №2697.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- Порядок определения текущей стоимости и оформления сметной документации в двух уровнях цен (базисном и текущем) объектов капитального строительства ОАО «РЖД», утвержденный распоряжением ОАО «РЖД» от 14.02.2014 №424р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В качестве индексов пересчета в текущий уровень цен применить индексы, утверждаемые ОАО «РЖД», для объектов, финансируемых за счет средств ОАО «РЖД» (отраслевые индексы), действующие на момент составления сметной документации.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Методику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утвержденная приказом Минстроя России от 4 08.2020г. №421/пр.,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3.  Конъюнктурный анализ цен на оборудование и материалы, отсутствующие в сметно-нормативной базе оформить в соответствии с Методикой по определению стоимости строительства, утвержденной приказом №421 от 04.08.2020г.,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по наиболее экономичному варианту, определенному на основании сбора информации о текущих ценах. Результаты конъюнктурного анализа оформляются в соответствии с рекомендуемой формой, приведенной в Приложении N 1 к Методике.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Обосновывающие стоимость в текущих ценах документы должны быть оформлены, согласно требованиям Методики по определению стоимости строительства, утвержденной приказом №421 от 04.08.2020г пунктами 14-17 и получены в период, не превышающий 6 месяцев до момента определения сметной стоимости.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4. Выполнить сметы на индивидуальные испытания и комплексную пусконаладку в рамках данного проектирования.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состав ССР включить работы, выполняемые «вхолостую», согласно ОПДС-2821.2022 п.3.10.6.2.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5. Пояснительная записка, должна содержать следующую дополнительную информацию: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а) сведения о порядке применения индексов со ссылкой на правоустанавливающие документы, на основании которых приняты используемые в сметной документации индексы с обязательным указанием их числовых значений;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б)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накладных расходов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сметной прибыли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г)</w:t>
            </w:r>
            <w:r w:rsidRPr="00107EC4">
              <w:rPr>
                <w:sz w:val="22"/>
                <w:szCs w:val="22"/>
              </w:rPr>
              <w:tab/>
              <w:t>механизм определения сметной стоимости оборудования и материалов, в качестве обоснования стоимости которых принимаются цены поставщиков или заводов-изготовителей, а также принятый порядок применения к этому оборудованию и материалам индексов;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lastRenderedPageBreak/>
              <w:t>д)</w:t>
            </w:r>
            <w:r w:rsidRPr="00107EC4">
              <w:rPr>
                <w:sz w:val="22"/>
                <w:szCs w:val="22"/>
              </w:rPr>
              <w:tab/>
              <w:t>обоснование особенностей определения сметной стоимости СМР для составления сметной документации (в части применения коэффициентов стесненности и проч.);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е)</w:t>
            </w:r>
            <w:r w:rsidRPr="00107EC4">
              <w:rPr>
                <w:sz w:val="22"/>
                <w:szCs w:val="22"/>
              </w:rPr>
              <w:tab/>
              <w:t>другие сведения о порядке определения сметной стоимости строительства объекта капитального строительства, характерные для него.</w:t>
            </w:r>
          </w:p>
          <w:p w:rsidR="005D70EE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6 Электронный вид сметной документации представить в формате Excel, Гранд-смета или XML.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Del="008742AF" w:rsidRDefault="005D70EE" w:rsidP="005D70EE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Условия оплаты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удержания, путём перечисления на расчётный счёт Подрядчика денежных средств в течение 20 (двадцати) банковских дней 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На денежное обязательство Заказчика перед Подрядчиком по оплате Работ проценты на основании ст. 317.1 Гражданского кодекса РФ за период пользования денежными средствами не начисляются и не оплачиваются.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476DB" w:rsidRPr="00107EC4" w:rsidTr="00CD43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оказания услуг и качества оказываемых услуг.</w:t>
            </w:r>
          </w:p>
        </w:tc>
      </w:tr>
      <w:tr w:rsidR="005476DB" w:rsidRPr="00107EC4" w:rsidTr="00CD43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Иные требования к Подрядчику (для включения в договор)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Согласовать с Заказчиком перечень представляемой исполнительной документации по видам Работ (составленный соглас</w:t>
            </w:r>
            <w:r w:rsidR="003618FA" w:rsidRPr="00107EC4">
              <w:rPr>
                <w:sz w:val="22"/>
                <w:szCs w:val="22"/>
              </w:rPr>
              <w:t>но РД 11-02-2006) не позднее 5</w:t>
            </w:r>
            <w:r w:rsidRPr="00107EC4">
              <w:rPr>
                <w:sz w:val="22"/>
                <w:szCs w:val="22"/>
              </w:rPr>
              <w:t xml:space="preserve"> рабочих дней с даты подписания Договора</w:t>
            </w:r>
          </w:p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в электронном виде (формат pdf).</w:t>
            </w:r>
          </w:p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b/>
                <w:sz w:val="22"/>
                <w:szCs w:val="22"/>
              </w:rPr>
            </w:pPr>
          </w:p>
        </w:tc>
      </w:tr>
      <w:tr w:rsidR="00CD431B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Del="008742AF" w:rsidRDefault="00CD431B" w:rsidP="00CD431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C03BAD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Руководство (контроль выполнения договора):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3618F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EC4">
              <w:rPr>
                <w:i/>
                <w:sz w:val="22"/>
                <w:szCs w:val="22"/>
              </w:rPr>
              <w:t>Контроль исполнения договора осуществляет</w:t>
            </w:r>
            <w:r w:rsidR="003618FA" w:rsidRPr="00107EC4">
              <w:rPr>
                <w:i/>
                <w:sz w:val="22"/>
                <w:szCs w:val="22"/>
              </w:rPr>
              <w:t xml:space="preserve"> заместитель директора Саратовского филиала АО «ПГК»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  <w:r w:rsidR="003618FA" w:rsidRPr="00107EC4">
              <w:rPr>
                <w:b/>
                <w:bCs/>
                <w:i/>
                <w:sz w:val="22"/>
                <w:szCs w:val="22"/>
              </w:rPr>
              <w:t>Серов Александр Викторович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Приложения (являются</w:t>
            </w:r>
          </w:p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неотъемлемой частью настоящего технического задания)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Приложение №1: Ведомость объемов работ/ сметные расчеты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Приложение №2</w:t>
            </w:r>
            <w:r w:rsidR="005D70EE" w:rsidRPr="00107EC4">
              <w:rPr>
                <w:sz w:val="22"/>
                <w:szCs w:val="22"/>
              </w:rPr>
              <w:t xml:space="preserve">: Рабочая документация 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</w:tbl>
    <w:p w:rsidR="00D9747A" w:rsidRPr="00107EC4" w:rsidRDefault="00D9747A">
      <w:pPr>
        <w:rPr>
          <w:sz w:val="22"/>
          <w:szCs w:val="22"/>
        </w:rPr>
      </w:pPr>
    </w:p>
    <w:sectPr w:rsidR="00D9747A" w:rsidRPr="00107E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A5" w:rsidRDefault="005E3AA5" w:rsidP="0090076A">
      <w:r>
        <w:separator/>
      </w:r>
    </w:p>
  </w:endnote>
  <w:endnote w:type="continuationSeparator" w:id="0">
    <w:p w:rsidR="005E3AA5" w:rsidRDefault="005E3AA5" w:rsidP="009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A5" w:rsidRDefault="005E3AA5" w:rsidP="0090076A">
      <w:r>
        <w:separator/>
      </w:r>
    </w:p>
  </w:footnote>
  <w:footnote w:type="continuationSeparator" w:id="0">
    <w:p w:rsidR="005E3AA5" w:rsidRDefault="005E3AA5" w:rsidP="0090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6A" w:rsidRPr="0090076A" w:rsidRDefault="00A31566" w:rsidP="0090076A">
    <w:pPr>
      <w:pStyle w:val="a4"/>
      <w:jc w:val="right"/>
      <w:rPr>
        <w:rFonts w:ascii="Times New Roman" w:hAnsi="Times New Roman" w:cs="Times New Roman"/>
        <w:sz w:val="22"/>
        <w:szCs w:val="22"/>
      </w:rPr>
    </w:pPr>
    <w:proofErr w:type="gramStart"/>
    <w:r>
      <w:rPr>
        <w:rFonts w:ascii="Times New Roman" w:hAnsi="Times New Roman" w:cs="Times New Roman"/>
        <w:sz w:val="22"/>
        <w:szCs w:val="22"/>
      </w:rPr>
      <w:t>Форма</w:t>
    </w:r>
    <w:r w:rsidRPr="0090076A">
      <w:rPr>
        <w:rFonts w:ascii="Times New Roman" w:hAnsi="Times New Roman" w:cs="Times New Roman"/>
        <w:sz w:val="22"/>
        <w:szCs w:val="22"/>
      </w:rPr>
      <w:t xml:space="preserve"> </w:t>
    </w:r>
    <w:r w:rsidR="003418AF">
      <w:rPr>
        <w:rFonts w:ascii="Times New Roman" w:hAnsi="Times New Roman" w:cs="Times New Roman"/>
        <w:sz w:val="22"/>
        <w:szCs w:val="22"/>
      </w:rPr>
      <w:t xml:space="preserve"> –</w:t>
    </w:r>
    <w:proofErr w:type="gramEnd"/>
    <w:r w:rsidR="003418AF">
      <w:rPr>
        <w:rFonts w:ascii="Times New Roman" w:hAnsi="Times New Roman" w:cs="Times New Roman"/>
        <w:sz w:val="22"/>
        <w:szCs w:val="22"/>
      </w:rPr>
      <w:t xml:space="preserve"> Техническое задание</w:t>
    </w:r>
  </w:p>
  <w:p w:rsidR="0090076A" w:rsidRDefault="009007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138AA3C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firstLine="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305"/>
        </w:tabs>
        <w:ind w:left="1305" w:hanging="454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532"/>
        </w:tabs>
        <w:ind w:left="1532" w:hanging="681"/>
      </w:pPr>
    </w:lvl>
    <w:lvl w:ilvl="3">
      <w:start w:val="1"/>
      <w:numFmt w:val="decimal"/>
      <w:pStyle w:val="30"/>
      <w:lvlText w:val="%1.%2.%3.%4"/>
      <w:lvlJc w:val="left"/>
      <w:pPr>
        <w:tabs>
          <w:tab w:val="num" w:pos="2612"/>
        </w:tabs>
        <w:ind w:left="2269" w:hanging="73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3562"/>
    <w:multiLevelType w:val="multilevel"/>
    <w:tmpl w:val="F20E8410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0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1DC078C4"/>
    <w:multiLevelType w:val="hybridMultilevel"/>
    <w:tmpl w:val="924A856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6339"/>
    <w:multiLevelType w:val="hybridMultilevel"/>
    <w:tmpl w:val="186E9F9E"/>
    <w:lvl w:ilvl="0" w:tplc="0D7A7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5D3C0803"/>
    <w:multiLevelType w:val="multilevel"/>
    <w:tmpl w:val="5BF686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EEB"/>
    <w:multiLevelType w:val="multilevel"/>
    <w:tmpl w:val="86EC9CA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75EC428D"/>
    <w:multiLevelType w:val="hybridMultilevel"/>
    <w:tmpl w:val="D2FE0A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8"/>
    <w:rsid w:val="0003548C"/>
    <w:rsid w:val="00070161"/>
    <w:rsid w:val="00070201"/>
    <w:rsid w:val="00084E79"/>
    <w:rsid w:val="00107EC4"/>
    <w:rsid w:val="00117155"/>
    <w:rsid w:val="00143D0D"/>
    <w:rsid w:val="001D136D"/>
    <w:rsid w:val="00257D79"/>
    <w:rsid w:val="002A3753"/>
    <w:rsid w:val="003130BB"/>
    <w:rsid w:val="003418AF"/>
    <w:rsid w:val="003618FA"/>
    <w:rsid w:val="00365C63"/>
    <w:rsid w:val="003F2875"/>
    <w:rsid w:val="005476DB"/>
    <w:rsid w:val="005869D7"/>
    <w:rsid w:val="00592678"/>
    <w:rsid w:val="005D70EE"/>
    <w:rsid w:val="005E3AA5"/>
    <w:rsid w:val="006B20B2"/>
    <w:rsid w:val="006C3F96"/>
    <w:rsid w:val="007308F8"/>
    <w:rsid w:val="007349FB"/>
    <w:rsid w:val="007412FF"/>
    <w:rsid w:val="00782665"/>
    <w:rsid w:val="007C3880"/>
    <w:rsid w:val="007C7AD4"/>
    <w:rsid w:val="00833B2E"/>
    <w:rsid w:val="008742AF"/>
    <w:rsid w:val="008A4E52"/>
    <w:rsid w:val="0090076A"/>
    <w:rsid w:val="00903CF9"/>
    <w:rsid w:val="00930CC1"/>
    <w:rsid w:val="00A31566"/>
    <w:rsid w:val="00AD08DE"/>
    <w:rsid w:val="00AD75A1"/>
    <w:rsid w:val="00BB250B"/>
    <w:rsid w:val="00C03BAD"/>
    <w:rsid w:val="00C27DD5"/>
    <w:rsid w:val="00C71A76"/>
    <w:rsid w:val="00C86A49"/>
    <w:rsid w:val="00C87396"/>
    <w:rsid w:val="00CD431B"/>
    <w:rsid w:val="00D2666C"/>
    <w:rsid w:val="00D35AC1"/>
    <w:rsid w:val="00D9679D"/>
    <w:rsid w:val="00D9747A"/>
    <w:rsid w:val="00DE6D53"/>
    <w:rsid w:val="00E450FC"/>
    <w:rsid w:val="00E817CC"/>
    <w:rsid w:val="00F85F9B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24AE1C2-7844-49D3-A02D-1806C5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2"/>
    <w:link w:val="10"/>
    <w:uiPriority w:val="9"/>
    <w:qFormat/>
    <w:rsid w:val="00BB250B"/>
    <w:pPr>
      <w:keepNext/>
      <w:keepLines/>
      <w:numPr>
        <w:numId w:val="7"/>
      </w:numPr>
      <w:overflowPunct w:val="0"/>
      <w:spacing w:before="360" w:after="60" w:line="360" w:lineRule="auto"/>
      <w:outlineLvl w:val="0"/>
    </w:pPr>
    <w:rPr>
      <w:rFonts w:ascii="Times New Roman" w:hAnsi="Times New Roman" w:cs="Times New Roman"/>
      <w:b/>
      <w:bCs/>
      <w:kern w:val="28"/>
      <w:sz w:val="28"/>
      <w:szCs w:val="24"/>
    </w:rPr>
  </w:style>
  <w:style w:type="paragraph" w:styleId="2">
    <w:name w:val="heading 2"/>
    <w:basedOn w:val="a0"/>
    <w:link w:val="21"/>
    <w:uiPriority w:val="9"/>
    <w:unhideWhenUsed/>
    <w:qFormat/>
    <w:rsid w:val="00BB250B"/>
    <w:pPr>
      <w:numPr>
        <w:ilvl w:val="1"/>
        <w:numId w:val="7"/>
      </w:numPr>
      <w:overflowPunct w:val="0"/>
      <w:spacing w:before="60"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a0"/>
    <w:link w:val="32"/>
    <w:uiPriority w:val="9"/>
    <w:semiHidden/>
    <w:unhideWhenUsed/>
    <w:qFormat/>
    <w:rsid w:val="00BB250B"/>
    <w:pPr>
      <w:numPr>
        <w:ilvl w:val="2"/>
        <w:numId w:val="7"/>
      </w:numPr>
      <w:overflowPunct w:val="0"/>
      <w:spacing w:before="60"/>
      <w:jc w:val="both"/>
      <w:outlineLvl w:val="2"/>
    </w:pPr>
    <w:rPr>
      <w:rFonts w:ascii="Times New Roman" w:hAnsi="Times New Roman" w:cs="Times New Roman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B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semiHidden/>
    <w:unhideWhenUsed/>
    <w:qFormat/>
    <w:rsid w:val="00BB250B"/>
    <w:pPr>
      <w:numPr>
        <w:ilvl w:val="4"/>
        <w:numId w:val="7"/>
      </w:numPr>
      <w:overflowPunct w:val="0"/>
      <w:spacing w:before="60"/>
      <w:jc w:val="both"/>
      <w:outlineLvl w:val="4"/>
    </w:pPr>
    <w:rPr>
      <w:rFonts w:ascii="Times New Roman" w:hAnsi="Times New Roman" w:cs="Times New Roman"/>
      <w:sz w:val="24"/>
    </w:rPr>
  </w:style>
  <w:style w:type="paragraph" w:styleId="6">
    <w:name w:val="heading 6"/>
    <w:basedOn w:val="a0"/>
    <w:next w:val="a0"/>
    <w:link w:val="61"/>
    <w:semiHidden/>
    <w:unhideWhenUsed/>
    <w:qFormat/>
    <w:rsid w:val="00BB250B"/>
    <w:pPr>
      <w:numPr>
        <w:ilvl w:val="5"/>
        <w:numId w:val="7"/>
      </w:numPr>
      <w:overflowPunct w:val="0"/>
      <w:spacing w:before="60"/>
      <w:jc w:val="both"/>
      <w:outlineLvl w:val="5"/>
    </w:pPr>
    <w:rPr>
      <w:rFonts w:ascii="Times New Roman" w:hAnsi="Times New Roman" w:cs="Times New Roman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250B"/>
    <w:pPr>
      <w:numPr>
        <w:ilvl w:val="6"/>
        <w:numId w:val="7"/>
      </w:numPr>
      <w:overflowPunct w:val="0"/>
      <w:spacing w:before="60"/>
      <w:jc w:val="both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BB250B"/>
    <w:pPr>
      <w:numPr>
        <w:ilvl w:val="7"/>
        <w:numId w:val="7"/>
      </w:numPr>
      <w:overflowPunct w:val="0"/>
      <w:spacing w:before="60"/>
      <w:jc w:val="both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BB250B"/>
    <w:pPr>
      <w:numPr>
        <w:ilvl w:val="8"/>
        <w:numId w:val="7"/>
      </w:numPr>
      <w:overflowPunct w:val="0"/>
      <w:spacing w:before="60"/>
      <w:jc w:val="both"/>
      <w:outlineLvl w:val="8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1,UL,Абзац маркированнный"/>
    <w:basedOn w:val="a0"/>
    <w:link w:val="a9"/>
    <w:uiPriority w:val="34"/>
    <w:qFormat/>
    <w:rsid w:val="006B2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1 Знак,UL Знак,Абзац маркированнный Знак"/>
    <w:link w:val="a8"/>
    <w:uiPriority w:val="34"/>
    <w:rsid w:val="006B20B2"/>
  </w:style>
  <w:style w:type="table" w:styleId="aa">
    <w:name w:val="Table Grid"/>
    <w:basedOn w:val="a2"/>
    <w:uiPriority w:val="59"/>
    <w:rsid w:val="006B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[Ростех] Наименование Подраздела (Уровень 3)"/>
    <w:uiPriority w:val="99"/>
    <w:qFormat/>
    <w:rsid w:val="006B20B2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6B20B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B20B2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uiPriority w:val="99"/>
    <w:qFormat/>
    <w:rsid w:val="006B20B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uiPriority w:val="99"/>
    <w:qFormat/>
    <w:rsid w:val="006B20B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20B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6B20B2"/>
  </w:style>
  <w:style w:type="character" w:customStyle="1" w:styleId="10">
    <w:name w:val="Заголовок 1 Знак"/>
    <w:basedOn w:val="a1"/>
    <w:link w:val="1"/>
    <w:uiPriority w:val="9"/>
    <w:rsid w:val="00BB250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BB2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1"/>
    <w:link w:val="3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аголовок 6 Знак"/>
    <w:basedOn w:val="a1"/>
    <w:link w:val="6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0"/>
    <w:rsid w:val="00BB250B"/>
    <w:pPr>
      <w:keepNext w:val="0"/>
      <w:keepLines w:val="0"/>
      <w:numPr>
        <w:ilvl w:val="3"/>
        <w:numId w:val="7"/>
      </w:numPr>
      <w:tabs>
        <w:tab w:val="clear" w:pos="2612"/>
        <w:tab w:val="left" w:pos="1701"/>
      </w:tabs>
      <w:overflowPunct w:val="0"/>
      <w:spacing w:before="60"/>
      <w:ind w:left="1985" w:hanging="851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BB25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143D0D"/>
  </w:style>
  <w:style w:type="character" w:customStyle="1" w:styleId="ac">
    <w:name w:val="Текст сноски Знак"/>
    <w:basedOn w:val="a1"/>
    <w:link w:val="ab"/>
    <w:uiPriority w:val="99"/>
    <w:semiHidden/>
    <w:rsid w:val="00143D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143D0D"/>
    <w:rPr>
      <w:vertAlign w:val="superscript"/>
    </w:rPr>
  </w:style>
  <w:style w:type="character" w:styleId="ae">
    <w:name w:val="Hyperlink"/>
    <w:basedOn w:val="a1"/>
    <w:uiPriority w:val="99"/>
    <w:unhideWhenUsed/>
    <w:rsid w:val="00CD431B"/>
    <w:rPr>
      <w:color w:val="0563C1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0702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702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tb">
    <w:name w:val="ptb_Обычный (жирный+по центру)"/>
    <w:basedOn w:val="a0"/>
    <w:link w:val="ptb0"/>
    <w:qFormat/>
    <w:rsid w:val="003618FA"/>
    <w:pPr>
      <w:widowControl/>
      <w:autoSpaceDE/>
      <w:autoSpaceDN/>
      <w:adjustRightInd/>
      <w:spacing w:after="160" w:line="259" w:lineRule="auto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ptb0">
    <w:name w:val="ptb_Обычный (жирный+по центру) Знак"/>
    <w:basedOn w:val="a1"/>
    <w:link w:val="ptb"/>
    <w:rsid w:val="003618FA"/>
    <w:rPr>
      <w:rFonts w:ascii="Arial" w:hAnsi="Arial"/>
      <w:b/>
    </w:rPr>
  </w:style>
  <w:style w:type="paragraph" w:customStyle="1" w:styleId="ptb1">
    <w:name w:val="ptb_Текст таблицы (обычный)"/>
    <w:qFormat/>
    <w:rsid w:val="003618FA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2">
    <w:name w:val="ptb_Текст таблицы (по центру+жирный)"/>
    <w:basedOn w:val="a0"/>
    <w:qFormat/>
    <w:rsid w:val="003618FA"/>
    <w:pPr>
      <w:widowControl/>
      <w:autoSpaceDE/>
      <w:autoSpaceDN/>
      <w:adjustRightInd/>
      <w:jc w:val="center"/>
    </w:pPr>
    <w:rPr>
      <w:rFonts w:eastAsiaTheme="minorHAnsi" w:cstheme="minorBidi"/>
      <w:b/>
      <w:szCs w:val="22"/>
    </w:rPr>
  </w:style>
  <w:style w:type="table" w:customStyle="1" w:styleId="ptb3">
    <w:name w:val="ptb_Таблица_Содержание"/>
    <w:basedOn w:val="a2"/>
    <w:uiPriority w:val="99"/>
    <w:rsid w:val="003618FA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5E45-B3B8-48FA-A7C8-C5B03609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Тарарушкина Юлия Владимировна</cp:lastModifiedBy>
  <cp:revision>3</cp:revision>
  <dcterms:created xsi:type="dcterms:W3CDTF">2024-06-17T10:30:00Z</dcterms:created>
  <dcterms:modified xsi:type="dcterms:W3CDTF">2024-06-17T11:54:00Z</dcterms:modified>
</cp:coreProperties>
</file>