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val="ru-RU"/>
        </w:rPr>
        <w:t>Приглашение к участию в процедуре предварительного запроса ценовой информации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Уважаемые коллеги.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Акционерное общество «Российская национальная перестраховочная компания» (АО «РНПК») приглашает к участию в процедуре предварительного запроса ценовой информации на </w:t>
      </w:r>
      <w:r>
        <w:rPr>
          <w:rFonts w:cs="Times New Roman" w:ascii="Times New Roman" w:hAnsi="Times New Roman"/>
          <w:iCs/>
          <w:sz w:val="24"/>
          <w:lang w:val="ru-RU"/>
        </w:rPr>
        <w:t>оказание услуг по созданию и внедрению внутреннего портала АО РНПК.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Состав документации: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Приглашение к участию в запросе ценовой информации;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Техническое задание на оказание услуг </w:t>
      </w:r>
      <w:r>
        <w:rPr>
          <w:rFonts w:cs="Times New Roman" w:ascii="Times New Roman" w:hAnsi="Times New Roman"/>
          <w:iCs/>
          <w:sz w:val="24"/>
          <w:lang w:val="ru-RU"/>
        </w:rPr>
        <w:t>по созданию и внедрению внутреннего портала АО РНПК.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Форма Коммерческого предложения.</w:t>
      </w:r>
    </w:p>
    <w:p>
      <w:pPr>
        <w:pStyle w:val="ListParagraph"/>
        <w:ind w:left="1068" w:hanging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  <w:t xml:space="preserve">Данная процедура не является ни закупкой, ни тендером, участие в этой процедуре не подразумевает заключение договора по ее итогам.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  <w:t>АО «РНПК» не несет никаких обязательств в связи с проведением настоящей процедуры.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В соответствии с настоящим приглашением в срок </w:t>
      </w:r>
      <w:bookmarkStart w:id="0" w:name="_Hlk146799969"/>
      <w:r>
        <w:rPr>
          <w:rFonts w:cs="Times New Roman" w:ascii="Times New Roman" w:hAnsi="Times New Roman"/>
          <w:bCs/>
          <w:iCs/>
          <w:sz w:val="24"/>
          <w:lang w:val="ru-RU"/>
        </w:rPr>
        <w:t xml:space="preserve">до </w:t>
      </w: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  <w:t>1</w:t>
      </w: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  <w:t>6</w:t>
      </w:r>
      <w:r>
        <w:rPr>
          <w:rFonts w:cs="Times New Roman" w:ascii="Times New Roman" w:hAnsi="Times New Roman"/>
          <w:bCs/>
          <w:iCs/>
          <w:sz w:val="24"/>
          <w:u w:val="single"/>
          <w:lang w:val="ru-RU"/>
        </w:rPr>
        <w:t>:00 МСК 05.10.2023</w:t>
      </w: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 </w:t>
      </w:r>
      <w:bookmarkEnd w:id="0"/>
      <w:r>
        <w:rPr>
          <w:rFonts w:cs="Times New Roman" w:ascii="Times New Roman" w:hAnsi="Times New Roman"/>
          <w:bCs/>
          <w:iCs/>
          <w:sz w:val="24"/>
          <w:lang w:val="ru-RU"/>
        </w:rPr>
        <w:t>года просим предоставить:</w:t>
      </w:r>
    </w:p>
    <w:p>
      <w:pPr>
        <w:pStyle w:val="ListParagraph"/>
        <w:numPr>
          <w:ilvl w:val="0"/>
          <w:numId w:val="4"/>
        </w:numPr>
        <w:spacing w:before="0" w:after="0"/>
        <w:contextualSpacing w:val="false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Коммерческое предложение в формате </w:t>
      </w:r>
      <w:r>
        <w:rPr>
          <w:rFonts w:cs="Times New Roman" w:ascii="Times New Roman" w:hAnsi="Times New Roman"/>
          <w:bCs/>
          <w:iCs/>
          <w:sz w:val="24"/>
        </w:rPr>
        <w:t>Excel</w:t>
      </w:r>
      <w:r>
        <w:rPr>
          <w:rFonts w:cs="Times New Roman" w:ascii="Times New Roman" w:hAnsi="Times New Roman"/>
          <w:bCs/>
          <w:iCs/>
          <w:sz w:val="24"/>
          <w:lang w:val="ru-RU"/>
        </w:rPr>
        <w:t xml:space="preserve"> (предложение по форме участника может быть приложено дополнительно).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  <w:bookmarkStart w:id="1" w:name="_GoBack"/>
      <w:bookmarkStart w:id="2" w:name="_GoBack"/>
      <w:bookmarkEnd w:id="2"/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В адрес АО «РНПК» возможно направить уточняющие вопросы и предложения.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адресу:</w:t>
      </w:r>
    </w:p>
    <w:p>
      <w:pPr>
        <w:pStyle w:val="Normal"/>
        <w:ind w:firstLine="708"/>
        <w:jc w:val="both"/>
        <w:rPr>
          <w:rStyle w:val="-"/>
          <w:rFonts w:ascii="Times New Roman" w:hAnsi="Times New Roman"/>
          <w:bCs/>
          <w:iCs/>
          <w:sz w:val="24"/>
          <w:lang w:val="ru-RU"/>
        </w:rPr>
      </w:pPr>
      <w:hyperlink r:id="rId2">
        <w:r>
          <w:rPr>
            <w:rStyle w:val="-"/>
            <w:rFonts w:ascii="Times New Roman" w:hAnsi="Times New Roman"/>
            <w:bCs/>
            <w:iCs/>
            <w:color w:val="auto"/>
            <w:sz w:val="24"/>
            <w:u w:val="none"/>
            <w:lang w:val="ru-RU"/>
          </w:rPr>
          <w:t>violetta.savchenko@rnrc.ru</w:t>
        </w:r>
      </w:hyperlink>
      <w:r>
        <w:rPr>
          <w:rStyle w:val="-"/>
          <w:rFonts w:ascii="Times New Roman" w:hAnsi="Times New Roman"/>
          <w:bCs/>
          <w:iCs/>
          <w:color w:val="auto"/>
          <w:sz w:val="24"/>
          <w:u w:val="none"/>
          <w:lang w:val="ru-RU"/>
        </w:rPr>
        <w:t xml:space="preserve"> – Савченко Виолетта Константиновна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О дате, месте и времени проведения основной процедуры закупки (тендера), в случае организации таковой, будет объявлено дополнительно.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lang w:val="ru-RU"/>
        </w:rPr>
        <w:t>Благодарим за участие!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gutter="0" w:header="709" w:top="766" w:footer="567" w:bottom="62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Segoe UI Light">
    <w:charset w:val="cc"/>
    <w:family w:val="roman"/>
    <w:pitch w:val="variable"/>
  </w:font>
  <w:font w:name="Lucida Grande">
    <w:charset w:val="cc"/>
    <w:family w:val="roman"/>
    <w:pitch w:val="variable"/>
  </w:font>
  <w:font w:name="Segoe UI Semibold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e"/>
      <w:tblW w:w="1031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70"/>
      <w:gridCol w:w="443"/>
    </w:tblGrid>
    <w:tr>
      <w:trPr/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5"/>
            <w:widowControl w:val="false"/>
            <w:suppressAutoHyphens w:val="true"/>
            <w:spacing w:before="0" w:after="0"/>
            <w:jc w:val="left"/>
            <w:rPr>
              <w:rFonts w:eastAsia="MS Mincho" w:cs="Arial"/>
            </w:rPr>
          </w:pPr>
          <w:r>
            <w:rPr>
              <w:rFonts w:eastAsia="MS Mincho" w:cs="Arial"/>
            </w:rPr>
          </w: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5"/>
            <w:widowControl w:val="false"/>
            <w:suppressAutoHyphens w:val="true"/>
            <w:spacing w:before="0" w:after="0"/>
            <w:jc w:val="right"/>
            <w:rPr>
              <w:rFonts w:eastAsia="MS Mincho" w:cs="Arial"/>
            </w:rPr>
          </w:pPr>
          <w:r>
            <w:rPr>
              <w:rFonts w:eastAsia="MS Mincho" w:cs="Arial"/>
            </w:rPr>
          </w:r>
        </w:p>
      </w:tc>
    </w:tr>
  </w:tbl>
  <w:p>
    <w:pPr>
      <w:pStyle w:val="Style25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e"/>
      <w:tblW w:w="1031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79"/>
      <w:gridCol w:w="634"/>
    </w:tblGrid>
    <w:tr>
      <w:trPr/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5"/>
            <w:widowControl w:val="false"/>
            <w:suppressAutoHyphens w:val="true"/>
            <w:spacing w:before="0" w:after="0"/>
            <w:jc w:val="left"/>
            <w:rPr>
              <w:rFonts w:eastAsia="MS Mincho" w:cs="Arial"/>
            </w:rPr>
          </w:pPr>
          <w:r>
            <w:rPr>
              <w:rFonts w:eastAsia="MS Mincho" w:cs="Arial"/>
            </w:rPr>
          </w: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5"/>
            <w:widowControl w:val="false"/>
            <w:suppressAutoHyphens w:val="true"/>
            <w:spacing w:before="0" w:after="0"/>
            <w:jc w:val="right"/>
            <w:rPr>
              <w:rFonts w:eastAsia="MS Mincho" w:cs="Arial"/>
            </w:rPr>
          </w:pPr>
          <w:r>
            <w:rPr>
              <w:rFonts w:eastAsia="MS Mincho" w:cs="Arial"/>
            </w:rPr>
          </w:r>
        </w:p>
      </w:tc>
    </w:tr>
  </w:tbl>
  <w:p>
    <w:pPr>
      <w:pStyle w:val="Style25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pacing w:val="7"/>
        <w:sz w:val="12"/>
        <w:szCs w:val="12"/>
        <w:lang w:val="ru-RU"/>
      </w:rPr>
    </w:pPr>
    <w:r>
      <w:rPr>
        <w:spacing w:val="7"/>
        <w:sz w:val="12"/>
        <w:szCs w:val="12"/>
        <w:lang w:val="ru-RU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jc w:val="left"/>
                            <w:tblInd w:w="0" w:type="dxa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786"/>
                          </w:tblGrid>
                          <w:tr>
                            <w:trPr>
                              <w:trHeight w:val="983" w:hRule="atLeast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Style24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color w:val="000000"/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none;v-text-anchor:middle;mso-position-horizontal:left">
              <v:fill o:detectmouseclick="t" type="solid" color2="black"/>
              <v:stroke color="#3465a4" joinstyle="round" endcap="flat"/>
              <v:textbox>
                <w:txbxContent>
                  <w:tbl>
                    <w:tblPr>
                      <w:tblStyle w:val="afe"/>
                      <w:tblW w:w="4786" w:type="dxa"/>
                      <w:jc w:val="left"/>
                      <w:tblInd w:w="0" w:type="dxa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786"/>
                    </w:tblGrid>
                    <w:tr>
                      <w:trPr>
                        <w:trHeight w:val="983" w:hRule="atLeast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Style24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color w:val="000000"/>
                        <w:spacing w:val="7"/>
                        <w:sz w:val="12"/>
                        <w:szCs w:val="12"/>
                        <w:lang w:val="ru-RU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jc w:val="left"/>
                            <w:tblInd w:w="0" w:type="dxa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786"/>
                            <w:gridCol w:w="4785"/>
                          </w:tblGrid>
                          <w:tr>
                            <w:trPr>
                              <w:trHeight w:val="983" w:hRule="atLeast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r>
                              </w:p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r>
                              </w:p>
                              <w:p>
                                <w:pPr>
                                  <w:pStyle w:val="Style24"/>
                                  <w:widowControl w:val="false"/>
                                  <w:suppressAutoHyphens w:val="true"/>
                                  <w:spacing w:before="0" w:after="0"/>
                                  <w:jc w:val="left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481.8pt;height:63.75pt;mso-wrap-style:none;v-text-anchor:middle;mso-position-horizontal:left">
              <v:fill o:detectmouseclick="t" type="solid" color2="black"/>
              <v:stroke color="#3465a4" joinstyle="round" endcap="flat"/>
              <v:textbox>
                <w:txbxContent>
                  <w:tbl>
                    <w:tblPr>
                      <w:tblStyle w:val="afe"/>
                      <w:tblW w:w="9572" w:type="dxa"/>
                      <w:jc w:val="left"/>
                      <w:tblInd w:w="0" w:type="dxa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786"/>
                      <w:gridCol w:w="4785"/>
                    </w:tblGrid>
                    <w:tr>
                      <w:trPr>
                        <w:trHeight w:val="983" w:hRule="atLeast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</w:rPr>
                          </w:r>
                        </w:p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r>
                        </w:p>
                        <w:p>
                          <w:pPr>
                            <w:pStyle w:val="Style24"/>
                            <w:widowControl w:val="false"/>
                            <w:suppressAutoHyphens w:val="true"/>
                            <w:spacing w:before="0" w:after="0"/>
                            <w:jc w:val="left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7"/>
                              <w:sz w:val="12"/>
                              <w:szCs w:val="12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0b07"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ＭＳ 明朝" w:cs="Arial" w:cstheme="minorBidi" w:eastAsiaTheme="minorEastAsia"/>
      <w:color w:val="auto"/>
      <w:kern w:val="0"/>
      <w:sz w:val="2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6c1206"/>
    <w:rPr/>
  </w:style>
  <w:style w:type="character" w:styleId="Style11" w:customStyle="1">
    <w:name w:val="Нижний колонтитул Знак"/>
    <w:basedOn w:val="DefaultParagraphFont"/>
    <w:uiPriority w:val="99"/>
    <w:qFormat/>
    <w:rsid w:val="006c1206"/>
    <w:rPr/>
  </w:style>
  <w:style w:type="character" w:styleId="Style12" w:customStyle="1">
    <w:name w:val="Тема письма Знак"/>
    <w:basedOn w:val="DefaultParagraphFont"/>
    <w:link w:val="Style26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styleId="Style13" w:customStyle="1">
    <w:name w:val="Адресат Знак"/>
    <w:basedOn w:val="DefaultParagraphFont"/>
    <w:link w:val="Style27"/>
    <w:qFormat/>
    <w:rsid w:val="00b3798a"/>
    <w:rPr>
      <w:rFonts w:ascii="Segoe UI Light" w:hAnsi="Segoe UI Light"/>
      <w:sz w:val="20"/>
      <w:lang w:val="ru-RU"/>
    </w:rPr>
  </w:style>
  <w:style w:type="character" w:styleId="Style14" w:customStyle="1">
    <w:name w:val="Обращение Знак"/>
    <w:basedOn w:val="DefaultParagraphFont"/>
    <w:link w:val="Style28"/>
    <w:qFormat/>
    <w:rsid w:val="000e793d"/>
    <w:rPr>
      <w:rFonts w:ascii="Segoe UI Semibold" w:hAnsi="Segoe UI Semibold"/>
      <w:sz w:val="22"/>
      <w:lang w:val="ru-RU"/>
    </w:rPr>
  </w:style>
  <w:style w:type="character" w:styleId="-">
    <w:name w:val="Hyperlink"/>
    <w:basedOn w:val="DefaultParagraphFont"/>
    <w:uiPriority w:val="99"/>
    <w:unhideWhenUsed/>
    <w:rsid w:val="0032152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4a8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592d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ad1c81"/>
    <w:pPr/>
    <w:rPr>
      <w:rFonts w:ascii="Lucida Grande" w:hAnsi="Lucida Grande"/>
      <w:sz w:val="18"/>
      <w:szCs w:val="18"/>
    </w:rPr>
  </w:style>
  <w:style w:type="paragraph" w:styleId="FDBook7ptauf11" w:customStyle="1">
    <w:name w:val="FD Book 7pt auf 11"/>
    <w:basedOn w:val="Normal"/>
    <w:uiPriority w:val="99"/>
    <w:qFormat/>
    <w:rsid w:val="00ad1c81"/>
    <w:pPr>
      <w:widowControl w:val="false"/>
      <w:spacing w:lineRule="atLeast" w:line="220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link w:val="Style10"/>
    <w:uiPriority w:val="99"/>
    <w:unhideWhenUsed/>
    <w:rsid w:val="006c120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1"/>
    <w:uiPriority w:val="99"/>
    <w:unhideWhenUsed/>
    <w:rsid w:val="006c120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a3f48"/>
    <w:pPr>
      <w:spacing w:before="0" w:after="0"/>
      <w:ind w:left="720" w:hanging="0"/>
      <w:contextualSpacing/>
    </w:pPr>
    <w:rPr/>
  </w:style>
  <w:style w:type="paragraph" w:styleId="Style26" w:customStyle="1">
    <w:name w:val="Тема письма"/>
    <w:basedOn w:val="Normal"/>
    <w:link w:val="Style12"/>
    <w:qFormat/>
    <w:rsid w:val="00b3798a"/>
    <w:pPr>
      <w:widowControl w:val="false"/>
      <w:spacing w:lineRule="atLeast" w:line="220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styleId="Style27" w:customStyle="1">
    <w:name w:val="Адресат"/>
    <w:basedOn w:val="Normal"/>
    <w:link w:val="Style13"/>
    <w:qFormat/>
    <w:rsid w:val="00b3798a"/>
    <w:pPr/>
    <w:rPr>
      <w:sz w:val="20"/>
      <w:lang w:val="ru-RU"/>
    </w:rPr>
  </w:style>
  <w:style w:type="paragraph" w:styleId="Style28" w:customStyle="1">
    <w:name w:val="Обращение"/>
    <w:basedOn w:val="Normal"/>
    <w:link w:val="Style14"/>
    <w:qFormat/>
    <w:rsid w:val="000e793d"/>
    <w:pPr/>
    <w:rPr>
      <w:rFonts w:ascii="Segoe UI Semibold" w:hAnsi="Segoe UI Semibold"/>
      <w:lang w:val="ru-RU"/>
    </w:rPr>
  </w:style>
  <w:style w:type="paragraph" w:styleId="1" w:customStyle="1">
    <w:name w:val="Текст1"/>
    <w:basedOn w:val="Normal"/>
    <w:qFormat/>
    <w:rsid w:val="00d70b45"/>
    <w:pPr>
      <w:widowControl w:val="false"/>
      <w:spacing w:lineRule="atLeast" w:line="260"/>
      <w:jc w:val="both"/>
    </w:pPr>
    <w:rPr>
      <w:rFonts w:ascii="Arial" w:hAnsi="Arial" w:eastAsia="Times New Roman" w:cs="Times New Roman"/>
      <w:sz w:val="20"/>
      <w:szCs w:val="20"/>
      <w:lang w:eastAsia="de-DE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244a8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244a8b"/>
    <w:pPr/>
    <w:rPr>
      <w:b/>
      <w:bCs/>
    </w:rPr>
  </w:style>
  <w:style w:type="paragraph" w:styleId="Default" w:customStyle="1">
    <w:name w:val="Default"/>
    <w:qFormat/>
    <w:rsid w:val="00a84daa"/>
    <w:pPr>
      <w:widowControl/>
      <w:suppressAutoHyphens w:val="true"/>
      <w:bidi w:val="0"/>
      <w:spacing w:before="0" w:after="0"/>
      <w:jc w:val="left"/>
    </w:pPr>
    <w:rPr>
      <w:rFonts w:ascii="Arial" w:hAnsi="Arial" w:eastAsia="MS Mincho" w:cs="Arial"/>
      <w:color w:val="000000"/>
      <w:kern w:val="0"/>
      <w:sz w:val="24"/>
      <w:szCs w:val="24"/>
      <w:lang w:val="ru-RU" w:eastAsia="en-US" w:bidi="ar-SA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321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oletta.savchenko@rnrc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E8295-339E-429E-B3A9-CC42923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LibreOffice/7.5.0.3$Windows_X86_64 LibreOffice_project/c21113d003cd3efa8c53188764377a8272d9d6de</Application>
  <AppVersion>15.0000</AppVersion>
  <Pages>1</Pages>
  <Words>170</Words>
  <Characters>1159</Characters>
  <CharactersWithSpaces>1311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2023-07-21T13:47:00Z</dcterms:created>
  <dc:creator>Лапшин Николай Михайлович</dc:creator>
  <dc:description/>
  <dc:language>ru-RU</dc:language>
  <cp:lastModifiedBy/>
  <cp:lastPrinted>2018-12-06T16:21:00Z</cp:lastPrinted>
  <dcterms:modified xsi:type="dcterms:W3CDTF">2023-09-28T15:56:39Z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