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Приложение № 1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поставки </w:t>
      </w:r>
      <w:r>
        <w:rPr>
          <w:rFonts w:eastAsia="Calibri"/>
          <w:sz w:val="24"/>
          <w:szCs w:val="24"/>
          <w:lang w:eastAsia="en-US"/>
        </w:rPr>
        <w:t xml:space="preserve">от «__</w:t>
      </w:r>
      <w:r>
        <w:rPr>
          <w:rFonts w:eastAsia="Calibri"/>
          <w:sz w:val="24"/>
          <w:szCs w:val="24"/>
          <w:lang w:eastAsia="en-US"/>
        </w:rPr>
        <w:t xml:space="preserve">_»_</w:t>
      </w:r>
      <w:r>
        <w:rPr>
          <w:rFonts w:eastAsia="Calibri"/>
          <w:sz w:val="24"/>
          <w:szCs w:val="24"/>
          <w:lang w:eastAsia="en-US"/>
        </w:rPr>
        <w:t xml:space="preserve">______2024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г.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№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51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5249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Санкт-Петербург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24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от «___»_______2024</w:t>
            </w:r>
            <w:r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6"/>
        <w:gridCol w:w="3405"/>
        <w:gridCol w:w="709"/>
        <w:gridCol w:w="709"/>
        <w:gridCol w:w="1559"/>
        <w:gridCol w:w="658"/>
        <w:gridCol w:w="759"/>
      </w:tblGrid>
      <w:tr>
        <w:tblPrEx/>
        <w:trPr>
          <w:trHeight w:val="571"/>
        </w:trPr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6" w:type="dxa"/>
            <w:vAlign w:val="center"/>
            <w:textDirection w:val="lrTb"/>
            <w:noWrap/>
          </w:tcPr>
          <w:p>
            <w:pPr>
              <w:ind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производитель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4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товара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изм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за ед. (с учетом НДС),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(с учетом НДС),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1"/>
        </w:trPr>
        <w:tc>
          <w:tcPr>
            <w:tcW w:w="566" w:type="dxa"/>
            <w:vAlign w:val="bottom"/>
            <w:textDirection w:val="lrTb"/>
            <w:noWrap w:val="false"/>
          </w:tcPr>
          <w:p>
            <w:pPr>
              <w:pStyle w:val="961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</w:p>
        </w:tc>
        <w:tc>
          <w:tcPr>
            <w:shd w:val="clear" w:color="auto" w:fill="auto"/>
            <w:tcW w:w="1556" w:type="dxa"/>
            <w:vAlign w:val="bottom"/>
            <w:textDirection w:val="lrTb"/>
            <w:noWrap/>
          </w:tcPr>
          <w:p>
            <w:pPr>
              <w:pStyle w:val="961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</w:p>
        </w:tc>
        <w:tc>
          <w:tcPr>
            <w:shd w:val="clear" w:color="auto" w:fill="auto"/>
            <w:tcW w:w="3405" w:type="dxa"/>
            <w:vAlign w:val="center"/>
            <w:textDirection w:val="lrTb"/>
            <w:noWrap w:val="false"/>
          </w:tcPr>
          <w:p>
            <w:pPr>
              <w:pStyle w:val="961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r>
          </w:p>
        </w:tc>
        <w:tc>
          <w:tcPr>
            <w:shd w:val="clear" w:color="auto" w:fill="auto"/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шт.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709" w:type="dxa"/>
            <w:vAlign w:val="bottom"/>
            <w:textDirection w:val="lrTb"/>
            <w:noWrap w:val="false"/>
          </w:tcPr>
          <w:p>
            <w:pPr>
              <w:pStyle w:val="961"/>
              <w:ind w:firstLine="0"/>
              <w:jc w:val="both"/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  <w:t xml:space="preserve"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lang w:eastAsia="en-US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417" w:type="dxa"/>
            <w:vAlign w:val="center"/>
            <w:textDirection w:val="lrTb"/>
            <w:noWrap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4"/>
        </w:trPr>
        <w:tc>
          <w:tcPr>
            <w:gridSpan w:val="6"/>
            <w:tcBorders>
              <w:right w:val="single" w:color="auto" w:sz="4" w:space="0"/>
            </w:tcBorders>
            <w:tcW w:w="8504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 (20%),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8" w:type="dxa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9" w:type="dxa"/>
            <w:vAlign w:val="center"/>
            <w:textDirection w:val="lrTb"/>
            <w:noWrap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gridSpan w:val="6"/>
            <w:tcBorders>
              <w:right w:val="single" w:color="auto" w:sz="4" w:space="0"/>
            </w:tcBorders>
            <w:tcW w:w="8504" w:type="dxa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с НДС (20%),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58" w:type="dxa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9" w:type="dxa"/>
            <w:vAlign w:val="center"/>
            <w:textDirection w:val="lrTb"/>
            <w:noWrap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17"/>
        <w:numPr>
          <w:ilvl w:val="0"/>
          <w:numId w:val="1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поставки: не более 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 дней от даты заключения договора.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7"/>
        <w:numPr>
          <w:ilvl w:val="0"/>
          <w:numId w:val="13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darkGray"/>
          <w14:ligatures w14:val="none"/>
        </w:rPr>
      </w:pPr>
      <w:r>
        <w:rPr>
          <w:rFonts w:ascii="Times New Roman" w:hAnsi="Times New Roman"/>
          <w:sz w:val="24"/>
          <w:szCs w:val="24"/>
          <w:highlight w:val="darkGray"/>
          <w:lang w:eastAsia="en-US"/>
        </w:rPr>
        <w:t xml:space="preserve">Поставка Товара осуществляется на условии DDP силами Поставщика либо с   </w:t>
      </w:r>
      <w:r>
        <w:rPr>
          <w:rFonts w:ascii="Times New Roman" w:hAnsi="Times New Roman"/>
          <w:sz w:val="24"/>
          <w:szCs w:val="24"/>
          <w:highlight w:val="darkGray"/>
        </w:rPr>
        <w:t xml:space="preserve">привлечением Перевозчика по выбору и за свой счет до склада Покупателя:</w:t>
      </w:r>
      <w:r>
        <w:rPr>
          <w:rFonts w:ascii="Times New Roman" w:hAnsi="Times New Roman"/>
          <w:sz w:val="24"/>
          <w:szCs w:val="24"/>
          <w:highlight w:val="darkGray"/>
        </w:rPr>
        <w:t xml:space="preserve"> </w:t>
      </w:r>
      <w:r>
        <w:rPr>
          <w:rFonts w:ascii="Times New Roman" w:hAnsi="Times New Roman"/>
          <w:sz w:val="24"/>
          <w:szCs w:val="24"/>
          <w:highlight w:val="darkGray"/>
          <w:lang w:val="ru-RU"/>
        </w:rPr>
        <w:t xml:space="preserve">188472 Российская Федерация, Ленинградская обл., Кингисеппский район, Территория Морской торговый порт, пос. Усть-Луга, Южный район, д. 470, стр. 70А, пом. 102</w:t>
      </w:r>
      <w:r>
        <w:rPr>
          <w:rFonts w:ascii="Times New Roman" w:hAnsi="Times New Roman"/>
          <w:sz w:val="24"/>
          <w:szCs w:val="24"/>
          <w:highlight w:val="darkGray"/>
          <w14:ligatures w14:val="none"/>
        </w:rPr>
      </w:r>
      <w:r>
        <w:rPr>
          <w:rFonts w:ascii="Times New Roman" w:hAnsi="Times New Roman"/>
          <w:sz w:val="24"/>
          <w:szCs w:val="24"/>
          <w:highlight w:val="darkGray"/>
          <w14:ligatures w14:val="none"/>
        </w:rPr>
      </w:r>
    </w:p>
    <w:p>
      <w:pPr>
        <w:pStyle w:val="959"/>
        <w:numPr>
          <w:ilvl w:val="0"/>
          <w:numId w:val="13"/>
        </w:numPr>
        <w:ind w:left="0" w:firstLine="709"/>
        <w:spacing w:before="0" w:line="240" w:lineRule="auto"/>
        <w:tabs>
          <w:tab w:val="left" w:pos="284" w:leader="none"/>
        </w:tabs>
        <w:rPr>
          <w:sz w:val="24"/>
        </w:rPr>
      </w:pPr>
      <w:r>
        <w:rPr>
          <w:sz w:val="24"/>
        </w:rPr>
        <w:t xml:space="preserve">Стоимость Товара является фиксированной и изменению не подлежит. В стоимость Товара </w:t>
      </w:r>
      <w:r>
        <w:rPr>
          <w:sz w:val="24"/>
        </w:rPr>
        <w:t xml:space="preserve">входит НДС (если предусмотрен), гарантийные обязательства, транспортные расходы до склада Покупателя, тара, упаковка, маркировка, таможенные (если предусмотрены) и/или налоговые и иные, обязательные сборы и платежи, погрузка, разгрузка, хранение, отгрузка.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13"/>
        </w:numPr>
        <w:ind w:left="0" w:firstLine="709"/>
        <w:spacing w:before="0" w:line="240" w:lineRule="auto"/>
        <w:tabs>
          <w:tab w:val="left" w:pos="284" w:leader="none"/>
        </w:tabs>
        <w:rPr>
          <w:sz w:val="24"/>
        </w:rPr>
      </w:pPr>
      <w:r>
        <w:rPr>
          <w:sz w:val="24"/>
          <w:lang w:eastAsia="en-US"/>
        </w:rPr>
        <w:t xml:space="preserve">Товар должен поставляться в надежной упаковке, в таре завода изго</w:t>
      </w:r>
      <w:r>
        <w:rPr>
          <w:sz w:val="24"/>
          <w:lang w:eastAsia="en-US"/>
        </w:rPr>
        <w:t xml:space="preserve">товителя без видимых признаков вскрытия, которая должна соответствовать стандартам и обеспечивать ее сохранность при хранении и транспортировке. Упаковка (тара) Товара переходит в собственность Покупателя вместе с Товаром и возврату Поставщику не подлежит.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13"/>
        </w:numPr>
        <w:ind w:left="0" w:firstLine="709"/>
        <w:spacing w:before="0" w:line="240" w:lineRule="auto"/>
        <w:widowControl w:val="off"/>
        <w:tabs>
          <w:tab w:val="left" w:pos="284" w:leader="none"/>
        </w:tabs>
        <w:rPr>
          <w:sz w:val="24"/>
        </w:rPr>
      </w:pPr>
      <w:r>
        <w:rPr>
          <w:sz w:val="24"/>
          <w:lang w:eastAsia="en-US"/>
        </w:rPr>
        <w:t xml:space="preserve">Поставщик обязуется одновременно с передачей Товара передать Покупателю товарную </w:t>
      </w:r>
      <w:r>
        <w:rPr>
          <w:sz w:val="24"/>
          <w:lang w:eastAsia="en-US"/>
        </w:rPr>
        <w:t xml:space="preserve">накладную (2 экземпляра), счет-фактуру или универсальный передаточный документ (УПД) (2 экземпляра), спецификацию, паспорт качества Товара. Ответственность за достоверность сведений, содержащихся в указанных, в настоящем пункте документах несет Поставщик. 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13"/>
        </w:numPr>
        <w:ind w:left="0" w:firstLine="709"/>
        <w:spacing w:before="0" w:line="240" w:lineRule="auto"/>
        <w:widowControl w:val="off"/>
        <w:tabs>
          <w:tab w:val="left" w:pos="284" w:leader="none"/>
        </w:tabs>
        <w:rPr>
          <w:sz w:val="24"/>
        </w:rPr>
      </w:pPr>
      <w:r>
        <w:rPr>
          <w:sz w:val="24"/>
        </w:rPr>
        <w:t xml:space="preserve">Гарантийный период должен составлять не менее 12 месяцев </w:t>
      </w:r>
      <w:r>
        <w:rPr>
          <w:sz w:val="24"/>
        </w:rPr>
        <w:t xml:space="preserve">с даты поставки товара</w:t>
      </w: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13"/>
        </w:numPr>
        <w:ind w:left="0" w:firstLine="709"/>
        <w:spacing w:before="0" w:line="240" w:lineRule="auto"/>
        <w:widowControl w:val="off"/>
        <w:tabs>
          <w:tab w:val="left" w:pos="284" w:leader="none"/>
        </w:tabs>
        <w:rPr>
          <w:sz w:val="24"/>
        </w:rPr>
      </w:pPr>
      <w:r>
        <w:rPr>
          <w:sz w:val="24"/>
          <w:lang w:eastAsia="en-US"/>
        </w:rPr>
        <w:t xml:space="preserve">Продукция поставляется выпущенной в свободное обращение на территории Российской Федерации (при поставке продукции производства не Российской Федерации).</w:t>
      </w:r>
      <w:r>
        <w:rPr>
          <w:sz w:val="24"/>
        </w:rPr>
      </w:r>
      <w:r>
        <w:rPr>
          <w:sz w:val="24"/>
        </w:rPr>
      </w:r>
    </w:p>
    <w:p>
      <w:pPr>
        <w:jc w:val="both"/>
        <w:widowControl w:val="o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4730"/>
        <w:gridCol w:w="5049"/>
      </w:tblGrid>
      <w:tr>
        <w:tblPrEx/>
        <w:trPr>
          <w:trHeight w:val="623"/>
        </w:trPr>
        <w:tc>
          <w:tcPr>
            <w:tcW w:w="4730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br w:type="page" w:clear="all"/>
            </w:r>
            <w:r>
              <w:rPr>
                <w:rFonts w:eastAsia="Calibri"/>
                <w:sz w:val="24"/>
                <w:szCs w:val="24"/>
                <w:lang w:eastAsia="en-US"/>
              </w:rPr>
              <w:br w:type="page" w:clear="all"/>
              <w:t xml:space="preserve">ПОСТАВЩИК: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04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АО «УЛКТ»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623"/>
        </w:trPr>
        <w:tc>
          <w:tcPr>
            <w:tcW w:w="4730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________________/_________________ /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М.П.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04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___________________/ Т.И.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Гарифьянов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/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М.П.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1276" w:right="849" w:bottom="1389" w:left="1276" w:header="436" w:footer="7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NewtonCTT">
    <w:panose1 w:val="02000603000000000000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right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85750" cy="3810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029830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5750" cy="380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2.50pt;height:30.0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pStyle w:val="954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cs="Times New Roman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 w:cs="Times New Roman"/>
      </w:rPr>
    </w:lvl>
    <w:lvl w:ilvl="2">
      <w:start w:val="1"/>
      <w:numFmt w:val="decimal"/>
      <w:pStyle w:val="955"/>
      <w:isLgl w:val="false"/>
      <w:suff w:val="tab"/>
      <w:lvlText w:val="%1.%2.%3"/>
      <w:lvlJc w:val="left"/>
      <w:pPr>
        <w:ind w:left="540"/>
        <w:tabs>
          <w:tab w:val="num" w:pos="767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pStyle w:val="959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  <w:rPr>
        <w:rFonts w:ascii="Times New Roman" w:hAnsi="Times New Roman" w:eastAsia="Times New Roman" w:cs="Times New Roman"/>
        <w:color w:val="auto"/>
      </w:r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05" w:hanging="360"/>
        <w:tabs>
          <w:tab w:val="num" w:pos="100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 w:eastAsia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Subtitle Char"/>
    <w:basedOn w:val="726"/>
    <w:link w:val="740"/>
    <w:uiPriority w:val="11"/>
    <w:rPr>
      <w:sz w:val="24"/>
      <w:szCs w:val="24"/>
    </w:rPr>
  </w:style>
  <w:style w:type="character" w:styleId="712">
    <w:name w:val="Quote Char"/>
    <w:link w:val="742"/>
    <w:uiPriority w:val="29"/>
    <w:rPr>
      <w:i/>
    </w:rPr>
  </w:style>
  <w:style w:type="character" w:styleId="713">
    <w:name w:val="Intense Quote Char"/>
    <w:link w:val="744"/>
    <w:uiPriority w:val="30"/>
    <w:rPr>
      <w:i/>
    </w:rPr>
  </w:style>
  <w:style w:type="character" w:styleId="714">
    <w:name w:val="Footnote Text Char"/>
    <w:link w:val="875"/>
    <w:uiPriority w:val="99"/>
    <w:rPr>
      <w:sz w:val="18"/>
    </w:rPr>
  </w:style>
  <w:style w:type="character" w:styleId="715">
    <w:name w:val="Endnote Text Char"/>
    <w:link w:val="878"/>
    <w:uiPriority w:val="99"/>
    <w:rPr>
      <w:sz w:val="20"/>
    </w:rPr>
  </w:style>
  <w:style w:type="paragraph" w:styleId="716" w:default="1">
    <w:name w:val="Normal"/>
    <w:qFormat/>
    <w:rPr>
      <w:rFonts w:ascii="Times New Roman" w:hAnsi="Times New Roman" w:eastAsia="Times New Roman"/>
    </w:rPr>
  </w:style>
  <w:style w:type="paragraph" w:styleId="717">
    <w:name w:val="Heading 1"/>
    <w:basedOn w:val="716"/>
    <w:next w:val="716"/>
    <w:link w:val="892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718">
    <w:name w:val="Heading 2"/>
    <w:basedOn w:val="716"/>
    <w:next w:val="716"/>
    <w:link w:val="90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19">
    <w:name w:val="Heading 3"/>
    <w:basedOn w:val="716"/>
    <w:next w:val="716"/>
    <w:link w:val="893"/>
    <w:qFormat/>
    <w:pPr>
      <w:jc w:val="right"/>
      <w:keepNext/>
      <w:outlineLvl w:val="2"/>
    </w:pPr>
    <w:rPr>
      <w:rFonts w:ascii="Courier New" w:hAnsi="Courier New"/>
      <w:b/>
      <w:bCs/>
      <w:sz w:val="24"/>
      <w:szCs w:val="22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</w:style>
  <w:style w:type="character" w:styleId="739" w:customStyle="1">
    <w:name w:val="Title Char"/>
    <w:basedOn w:val="726"/>
    <w:uiPriority w:val="10"/>
    <w:rPr>
      <w:sz w:val="48"/>
      <w:szCs w:val="48"/>
    </w:rPr>
  </w:style>
  <w:style w:type="paragraph" w:styleId="740">
    <w:name w:val="Subtitle"/>
    <w:basedOn w:val="716"/>
    <w:next w:val="71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26"/>
    <w:link w:val="740"/>
    <w:uiPriority w:val="11"/>
    <w:rPr>
      <w:sz w:val="24"/>
      <w:szCs w:val="24"/>
    </w:rPr>
  </w:style>
  <w:style w:type="paragraph" w:styleId="742">
    <w:name w:val="Quote"/>
    <w:basedOn w:val="716"/>
    <w:next w:val="716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6"/>
    <w:next w:val="716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6"/>
    <w:uiPriority w:val="99"/>
  </w:style>
  <w:style w:type="character" w:styleId="747" w:customStyle="1">
    <w:name w:val="Footer Char"/>
    <w:basedOn w:val="726"/>
    <w:uiPriority w:val="99"/>
  </w:style>
  <w:style w:type="paragraph" w:styleId="748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basedOn w:val="7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1"/>
    <w:basedOn w:val="7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5"/>
    <w:basedOn w:val="7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6"/>
    <w:basedOn w:val="7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>
    <w:name w:val="List Table 1 Light"/>
    <w:basedOn w:val="7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>
    <w:name w:val="List Table 7 Colorful"/>
    <w:basedOn w:val="7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1"/>
    <w:basedOn w:val="7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2"/>
    <w:basedOn w:val="7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3"/>
    <w:basedOn w:val="7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4"/>
    <w:basedOn w:val="7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5"/>
    <w:basedOn w:val="7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6"/>
    <w:basedOn w:val="7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ned - Accent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5">
    <w:name w:val="footnote text"/>
    <w:basedOn w:val="716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6"/>
    <w:uiPriority w:val="99"/>
    <w:unhideWhenUsed/>
    <w:rPr>
      <w:vertAlign w:val="superscript"/>
    </w:rPr>
  </w:style>
  <w:style w:type="paragraph" w:styleId="878">
    <w:name w:val="endnote text"/>
    <w:basedOn w:val="716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6"/>
    <w:uiPriority w:val="99"/>
    <w:semiHidden/>
    <w:unhideWhenUsed/>
    <w:rPr>
      <w:vertAlign w:val="superscript"/>
    </w:rPr>
  </w:style>
  <w:style w:type="paragraph" w:styleId="881">
    <w:name w:val="toc 1"/>
    <w:basedOn w:val="716"/>
    <w:next w:val="716"/>
    <w:uiPriority w:val="39"/>
    <w:unhideWhenUsed/>
    <w:pPr>
      <w:spacing w:after="57"/>
    </w:pPr>
  </w:style>
  <w:style w:type="paragraph" w:styleId="882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3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4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5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6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7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88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89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6"/>
    <w:next w:val="716"/>
    <w:uiPriority w:val="99"/>
    <w:unhideWhenUsed/>
  </w:style>
  <w:style w:type="character" w:styleId="892" w:customStyle="1">
    <w:name w:val="Заголовок 1 Знак"/>
    <w:link w:val="717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893" w:customStyle="1">
    <w:name w:val="Заголовок 3 Знак"/>
    <w:link w:val="719"/>
    <w:rPr>
      <w:rFonts w:ascii="Courier New" w:hAnsi="Courier New" w:eastAsia="Times New Roman" w:cs="Courier New"/>
      <w:b/>
      <w:bCs/>
      <w:sz w:val="24"/>
      <w:szCs w:val="22"/>
    </w:rPr>
  </w:style>
  <w:style w:type="character" w:styleId="894">
    <w:name w:val="Strong"/>
    <w:qFormat/>
    <w:rPr>
      <w:b/>
      <w:bCs/>
    </w:rPr>
  </w:style>
  <w:style w:type="paragraph" w:styleId="895">
    <w:name w:val="Body Text"/>
    <w:basedOn w:val="716"/>
    <w:link w:val="896"/>
    <w:pPr>
      <w:jc w:val="both"/>
    </w:pPr>
  </w:style>
  <w:style w:type="character" w:styleId="896" w:customStyle="1">
    <w:name w:val="Основной текст Знак"/>
    <w:link w:val="895"/>
    <w:rPr>
      <w:rFonts w:ascii="Times New Roman" w:hAnsi="Times New Roman" w:eastAsia="Times New Roman"/>
      <w:lang w:eastAsia="ru-RU"/>
    </w:rPr>
  </w:style>
  <w:style w:type="paragraph" w:styleId="897" w:customStyle="1">
    <w:name w:val="Таблицы (моноширинный)"/>
    <w:basedOn w:val="716"/>
    <w:next w:val="716"/>
    <w:pPr>
      <w:jc w:val="both"/>
      <w:widowControl w:val="off"/>
    </w:pPr>
    <w:rPr>
      <w:rFonts w:ascii="Courier New" w:hAnsi="Courier New" w:cs="Courier New"/>
      <w:sz w:val="32"/>
      <w:szCs w:val="32"/>
    </w:rPr>
  </w:style>
  <w:style w:type="paragraph" w:styleId="898" w:customStyle="1">
    <w:name w:val="Обычный1"/>
    <w:pPr>
      <w:ind w:firstLine="576"/>
    </w:pPr>
    <w:rPr>
      <w:rFonts w:ascii="NewtonCTT" w:hAnsi="NewtonCTT" w:eastAsia="Times New Roman"/>
    </w:rPr>
  </w:style>
  <w:style w:type="character" w:styleId="899">
    <w:name w:val="annotation reference"/>
    <w:rPr>
      <w:sz w:val="16"/>
      <w:szCs w:val="16"/>
    </w:rPr>
  </w:style>
  <w:style w:type="paragraph" w:styleId="900">
    <w:name w:val="annotation text"/>
    <w:basedOn w:val="716"/>
    <w:link w:val="901"/>
  </w:style>
  <w:style w:type="character" w:styleId="901" w:customStyle="1">
    <w:name w:val="Текст примечания Знак"/>
    <w:link w:val="900"/>
    <w:rPr>
      <w:rFonts w:ascii="Times New Roman" w:hAnsi="Times New Roman" w:eastAsia="Times New Roman"/>
      <w:lang w:eastAsia="ru-RU"/>
    </w:rPr>
  </w:style>
  <w:style w:type="paragraph" w:styleId="902">
    <w:name w:val="Balloon Text"/>
    <w:basedOn w:val="716"/>
    <w:link w:val="903"/>
    <w:uiPriority w:val="99"/>
    <w:semiHidden/>
    <w:unhideWhenUsed/>
    <w:rPr>
      <w:rFonts w:ascii="Tahoma" w:hAnsi="Tahoma"/>
      <w:sz w:val="16"/>
      <w:szCs w:val="16"/>
    </w:rPr>
  </w:style>
  <w:style w:type="character" w:styleId="903" w:customStyle="1">
    <w:name w:val="Текст выноски Знак"/>
    <w:link w:val="90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4" w:customStyle="1">
    <w:name w:val="ConsPlusNonformat"/>
    <w:uiPriority w:val="99"/>
    <w:rPr>
      <w:rFonts w:ascii="Courier New" w:hAnsi="Courier New" w:cs="Courier New"/>
      <w:lang w:eastAsia="en-US"/>
    </w:rPr>
  </w:style>
  <w:style w:type="paragraph" w:styleId="905" w:customStyle="1">
    <w:name w:val="Absatz-Standardschriftar"/>
    <w:next w:val="716"/>
    <w:pPr>
      <w:spacing w:before="120"/>
    </w:pPr>
    <w:rPr>
      <w:rFonts w:ascii="Arial" w:hAnsi="Arial" w:eastAsia="Times New Roman"/>
    </w:rPr>
  </w:style>
  <w:style w:type="paragraph" w:styleId="906">
    <w:name w:val="Title"/>
    <w:basedOn w:val="716"/>
    <w:link w:val="907"/>
    <w:qFormat/>
    <w:pPr>
      <w:jc w:val="center"/>
    </w:pPr>
    <w:rPr>
      <w:b/>
      <w:sz w:val="40"/>
    </w:rPr>
  </w:style>
  <w:style w:type="character" w:styleId="907" w:customStyle="1">
    <w:name w:val="Заголовок Знак"/>
    <w:link w:val="906"/>
    <w:rPr>
      <w:rFonts w:ascii="Times New Roman" w:hAnsi="Times New Roman" w:eastAsia="Times New Roman"/>
      <w:b/>
      <w:sz w:val="40"/>
    </w:rPr>
  </w:style>
  <w:style w:type="character" w:styleId="908" w:customStyle="1">
    <w:name w:val="Заголовок 2 Знак"/>
    <w:link w:val="71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09">
    <w:name w:val="Header"/>
    <w:basedOn w:val="716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link w:val="909"/>
    <w:uiPriority w:val="99"/>
    <w:rPr>
      <w:rFonts w:ascii="Times New Roman" w:hAnsi="Times New Roman" w:eastAsia="Times New Roman"/>
    </w:rPr>
  </w:style>
  <w:style w:type="paragraph" w:styleId="911">
    <w:name w:val="Footer"/>
    <w:basedOn w:val="716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link w:val="911"/>
    <w:uiPriority w:val="99"/>
    <w:rPr>
      <w:rFonts w:ascii="Times New Roman" w:hAnsi="Times New Roman" w:eastAsia="Times New Roman"/>
    </w:rPr>
  </w:style>
  <w:style w:type="paragraph" w:styleId="913">
    <w:name w:val="annotation subject"/>
    <w:basedOn w:val="900"/>
    <w:next w:val="900"/>
    <w:link w:val="914"/>
    <w:uiPriority w:val="99"/>
    <w:semiHidden/>
    <w:unhideWhenUsed/>
    <w:rPr>
      <w:b/>
      <w:bCs/>
    </w:rPr>
  </w:style>
  <w:style w:type="character" w:styleId="914" w:customStyle="1">
    <w:name w:val="Тема примечания Знак"/>
    <w:link w:val="913"/>
    <w:uiPriority w:val="99"/>
    <w:semiHidden/>
    <w:rPr>
      <w:rFonts w:ascii="Times New Roman" w:hAnsi="Times New Roman" w:eastAsia="Times New Roman"/>
      <w:b/>
      <w:bCs/>
      <w:lang w:eastAsia="ru-RU"/>
    </w:rPr>
  </w:style>
  <w:style w:type="character" w:styleId="915">
    <w:name w:val="page number"/>
  </w:style>
  <w:style w:type="paragraph" w:styleId="916" w:customStyle="1">
    <w:name w:val="ConsPlusNormal"/>
    <w:rPr>
      <w:rFonts w:ascii="Arial" w:hAnsi="Arial" w:eastAsia="Times New Roman" w:cs="Arial"/>
    </w:rPr>
  </w:style>
  <w:style w:type="paragraph" w:styleId="917">
    <w:name w:val="List Paragraph"/>
    <w:basedOn w:val="716"/>
    <w:link w:val="95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18">
    <w:name w:val="Revision"/>
    <w:hidden/>
    <w:uiPriority w:val="99"/>
    <w:semiHidden/>
    <w:rPr>
      <w:rFonts w:ascii="Times New Roman" w:hAnsi="Times New Roman" w:eastAsia="Times New Roman"/>
    </w:rPr>
  </w:style>
  <w:style w:type="paragraph" w:styleId="919">
    <w:name w:val="Normal (Web)"/>
    <w:basedOn w:val="716"/>
    <w:uiPriority w:val="99"/>
    <w:semiHidden/>
    <w:unhideWhenUsed/>
    <w:rPr>
      <w:rFonts w:eastAsia="Calibri"/>
      <w:sz w:val="24"/>
      <w:szCs w:val="24"/>
    </w:rPr>
  </w:style>
  <w:style w:type="character" w:styleId="920">
    <w:name w:val="Emphasis"/>
    <w:basedOn w:val="726"/>
    <w:uiPriority w:val="20"/>
    <w:qFormat/>
    <w:rPr>
      <w:i/>
      <w:iCs/>
    </w:rPr>
  </w:style>
  <w:style w:type="paragraph" w:styleId="921" w:customStyle="1">
    <w:name w:val="StGen0"/>
    <w:basedOn w:val="716"/>
    <w:next w:val="906"/>
    <w:link w:val="922"/>
    <w:qFormat/>
    <w:pPr>
      <w:jc w:val="center"/>
    </w:pPr>
    <w:rPr>
      <w:b/>
      <w:sz w:val="40"/>
    </w:rPr>
  </w:style>
  <w:style w:type="character" w:styleId="922" w:customStyle="1">
    <w:name w:val="Название Знак"/>
    <w:link w:val="921"/>
    <w:rPr>
      <w:rFonts w:ascii="Times New Roman" w:hAnsi="Times New Roman" w:eastAsia="Times New Roman"/>
      <w:b/>
      <w:sz w:val="40"/>
    </w:rPr>
  </w:style>
  <w:style w:type="character" w:styleId="923">
    <w:name w:val="Hyperlink"/>
    <w:basedOn w:val="726"/>
    <w:uiPriority w:val="99"/>
    <w:semiHidden/>
    <w:unhideWhenUsed/>
    <w:rPr>
      <w:color w:val="0000ff"/>
      <w:u w:val="single"/>
    </w:rPr>
  </w:style>
  <w:style w:type="character" w:styleId="924">
    <w:name w:val="FollowedHyperlink"/>
    <w:basedOn w:val="726"/>
    <w:uiPriority w:val="99"/>
    <w:semiHidden/>
    <w:unhideWhenUsed/>
    <w:rPr>
      <w:color w:val="800080"/>
      <w:u w:val="single"/>
    </w:rPr>
  </w:style>
  <w:style w:type="paragraph" w:styleId="925" w:customStyle="1">
    <w:name w:val="msonormal"/>
    <w:basedOn w:val="716"/>
    <w:pPr>
      <w:spacing w:before="100" w:beforeAutospacing="1" w:after="100" w:afterAutospacing="1"/>
    </w:pPr>
    <w:rPr>
      <w:sz w:val="24"/>
      <w:szCs w:val="24"/>
    </w:rPr>
  </w:style>
  <w:style w:type="paragraph" w:styleId="926" w:customStyle="1">
    <w:name w:val="xl65"/>
    <w:basedOn w:val="716"/>
    <w:pPr>
      <w:spacing w:before="100" w:beforeAutospacing="1" w:after="100" w:afterAutospacing="1"/>
    </w:pPr>
    <w:rPr>
      <w:sz w:val="24"/>
      <w:szCs w:val="24"/>
    </w:rPr>
  </w:style>
  <w:style w:type="paragraph" w:styleId="927" w:customStyle="1">
    <w:name w:val="xl66"/>
    <w:basedOn w:val="716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8" w:customStyle="1">
    <w:name w:val="xl67"/>
    <w:basedOn w:val="71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929" w:customStyle="1">
    <w:name w:val="xl68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930" w:customStyle="1">
    <w:name w:val="xl69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1" w:customStyle="1">
    <w:name w:val="xl70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2" w:customStyle="1">
    <w:name w:val="xl71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3" w:customStyle="1">
    <w:name w:val="xl72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4" w:customStyle="1">
    <w:name w:val="xl73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5" w:customStyle="1">
    <w:name w:val="xl74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6" w:customStyle="1">
    <w:name w:val="xl75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7" w:customStyle="1">
    <w:name w:val="xl76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8" w:customStyle="1">
    <w:name w:val="xl77"/>
    <w:basedOn w:val="71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39" w:customStyle="1">
    <w:name w:val="xl78"/>
    <w:basedOn w:val="71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0" w:customStyle="1">
    <w:name w:val="xl79"/>
    <w:basedOn w:val="71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1" w:customStyle="1">
    <w:name w:val="xl80"/>
    <w:basedOn w:val="71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2" w:customStyle="1">
    <w:name w:val="xl81"/>
    <w:basedOn w:val="71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3" w:customStyle="1">
    <w:name w:val="xl82"/>
    <w:basedOn w:val="71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4" w:customStyle="1">
    <w:name w:val="xl83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18"/>
      <w:szCs w:val="18"/>
    </w:rPr>
  </w:style>
  <w:style w:type="paragraph" w:styleId="945" w:customStyle="1">
    <w:name w:val="xl84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6" w:customStyle="1">
    <w:name w:val="xl85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7" w:customStyle="1">
    <w:name w:val="xl86"/>
    <w:basedOn w:val="71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8" w:customStyle="1">
    <w:name w:val="xl87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49" w:customStyle="1">
    <w:name w:val="xl88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paragraph" w:styleId="950" w:customStyle="1">
    <w:name w:val="xl89"/>
    <w:basedOn w:val="71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8"/>
      <w:szCs w:val="18"/>
    </w:rPr>
  </w:style>
  <w:style w:type="table" w:styleId="951">
    <w:name w:val="Table Grid"/>
    <w:basedOn w:val="727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2" w:customStyle="1">
    <w:name w:val="ConsNormal"/>
    <w:link w:val="953"/>
    <w:pPr>
      <w:ind w:right="19772" w:firstLine="720"/>
    </w:pPr>
    <w:rPr>
      <w:rFonts w:ascii="Arial" w:hAnsi="Arial" w:eastAsia="Times New Roman" w:cs="Arial"/>
    </w:rPr>
  </w:style>
  <w:style w:type="character" w:styleId="953" w:customStyle="1">
    <w:name w:val="ConsNormal Знак"/>
    <w:link w:val="952"/>
    <w:rPr>
      <w:rFonts w:ascii="Arial" w:hAnsi="Arial" w:eastAsia="Times New Roman" w:cs="Arial"/>
    </w:rPr>
  </w:style>
  <w:style w:type="paragraph" w:styleId="954" w:customStyle="1">
    <w:name w:val="Стиль1"/>
    <w:basedOn w:val="716"/>
    <w:pPr>
      <w:numPr>
        <w:ilvl w:val="0"/>
        <w:numId w:val="8"/>
      </w:numPr>
      <w:keepLines/>
      <w:keepNext/>
      <w:spacing w:after="60"/>
      <w:widowControl w:val="off"/>
      <w:suppressLineNumbers/>
    </w:pPr>
    <w:rPr>
      <w:b/>
      <w:sz w:val="28"/>
      <w:szCs w:val="24"/>
    </w:rPr>
  </w:style>
  <w:style w:type="paragraph" w:styleId="955" w:customStyle="1">
    <w:name w:val="Стиль3"/>
    <w:basedOn w:val="956"/>
    <w:pPr>
      <w:numPr>
        <w:ilvl w:val="2"/>
        <w:numId w:val="8"/>
      </w:numPr>
      <w:ind w:left="283"/>
      <w:jc w:val="both"/>
      <w:spacing w:after="0" w:line="240" w:lineRule="auto"/>
      <w:widowControl w:val="off"/>
      <w:tabs>
        <w:tab w:val="num" w:pos="360" w:leader="none"/>
        <w:tab w:val="clear" w:pos="767" w:leader="none"/>
      </w:tabs>
    </w:pPr>
    <w:rPr>
      <w:sz w:val="24"/>
    </w:rPr>
  </w:style>
  <w:style w:type="paragraph" w:styleId="956">
    <w:name w:val="Body Text Indent 2"/>
    <w:basedOn w:val="716"/>
    <w:link w:val="957"/>
    <w:uiPriority w:val="99"/>
    <w:semiHidden/>
    <w:unhideWhenUsed/>
    <w:pPr>
      <w:ind w:left="283"/>
      <w:spacing w:after="120" w:line="480" w:lineRule="auto"/>
    </w:pPr>
  </w:style>
  <w:style w:type="character" w:styleId="957" w:customStyle="1">
    <w:name w:val="Основной текст с отступом 2 Знак"/>
    <w:basedOn w:val="726"/>
    <w:link w:val="956"/>
    <w:uiPriority w:val="99"/>
    <w:semiHidden/>
    <w:rPr>
      <w:rFonts w:ascii="Times New Roman" w:hAnsi="Times New Roman" w:eastAsia="Times New Roman"/>
    </w:rPr>
  </w:style>
  <w:style w:type="character" w:styleId="958" w:customStyle="1">
    <w:name w:val="Абзац списка Знак"/>
    <w:basedOn w:val="726"/>
    <w:link w:val="917"/>
    <w:uiPriority w:val="34"/>
    <w:qFormat/>
    <w:rPr>
      <w:rFonts w:eastAsia="Times New Roman"/>
      <w:sz w:val="22"/>
      <w:szCs w:val="22"/>
    </w:rPr>
  </w:style>
  <w:style w:type="paragraph" w:styleId="959">
    <w:name w:val="List Number"/>
    <w:basedOn w:val="716"/>
    <w:uiPriority w:val="99"/>
    <w:pPr>
      <w:numPr>
        <w:ilvl w:val="0"/>
        <w:numId w:val="11"/>
      </w:numPr>
      <w:jc w:val="both"/>
      <w:spacing w:before="60" w:line="360" w:lineRule="auto"/>
    </w:pPr>
    <w:rPr>
      <w:sz w:val="28"/>
      <w:szCs w:val="24"/>
    </w:rPr>
  </w:style>
  <w:style w:type="paragraph" w:styleId="960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961">
    <w:name w:val="Body Text Indent 3"/>
    <w:basedOn w:val="716"/>
    <w:link w:val="962"/>
    <w:semiHidden/>
    <w:pPr>
      <w:ind w:firstLine="709"/>
      <w:jc w:val="center"/>
    </w:pPr>
    <w:rPr>
      <w:b/>
      <w:bCs/>
      <w:sz w:val="28"/>
      <w:szCs w:val="24"/>
    </w:rPr>
  </w:style>
  <w:style w:type="character" w:styleId="962" w:customStyle="1">
    <w:name w:val="Основной текст с отступом 3 Знак"/>
    <w:basedOn w:val="726"/>
    <w:link w:val="961"/>
    <w:semiHidden/>
    <w:rPr>
      <w:rFonts w:ascii="Times New Roman" w:hAnsi="Times New Roman" w:eastAsia="Times New Roman"/>
      <w:b/>
      <w:bCs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D5D9-D352-4221-BC2B-B2AB0EDE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Liebherr-Russland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dernov</dc:creator>
  <cp:revision>8</cp:revision>
  <dcterms:created xsi:type="dcterms:W3CDTF">2024-03-25T05:31:00Z</dcterms:created>
  <dcterms:modified xsi:type="dcterms:W3CDTF">2024-10-14T07:18:33Z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