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A5F67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A57F431" w:rsidR="00E85F88" w:rsidRPr="00CA3A64" w:rsidRDefault="00CA3A6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BA5F67" w:rsidRPr="00712345">
                <w:rPr>
                  <w:rStyle w:val="a4"/>
                  <w:rFonts w:cs="Arial"/>
                  <w:sz w:val="24"/>
                  <w:szCs w:val="24"/>
                  <w:lang w:val="en-US"/>
                </w:rPr>
                <w:t>SVMalysheva</w:t>
              </w:r>
              <w:r w:rsidR="00BA5F67" w:rsidRPr="00CA3A64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BA5F67" w:rsidRPr="0071234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BA5F67" w:rsidRPr="00CA3A64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BA5F67" w:rsidRPr="0071234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0B3FBE6A" w14:textId="7EF83B3C" w:rsidR="00CA3A64" w:rsidRPr="00CA3A64" w:rsidRDefault="00CA3A6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CA3A64">
              <w:rPr>
                <w:rFonts w:cs="Arial"/>
                <w:sz w:val="24"/>
                <w:szCs w:val="24"/>
                <w:lang w:val="en-US"/>
              </w:rPr>
              <w:t>zakupki</w:t>
            </w:r>
            <w:proofErr w:type="spellEnd"/>
            <w:r w:rsidRPr="00CA3A64">
              <w:rPr>
                <w:rFonts w:cs="Arial"/>
                <w:sz w:val="24"/>
                <w:szCs w:val="24"/>
              </w:rPr>
              <w:t>@</w:t>
            </w:r>
            <w:proofErr w:type="spellStart"/>
            <w:r w:rsidRPr="00CA3A64">
              <w:rPr>
                <w:rFonts w:cs="Arial"/>
                <w:sz w:val="24"/>
                <w:szCs w:val="24"/>
                <w:lang w:val="en-US"/>
              </w:rPr>
              <w:t>inno</w:t>
            </w:r>
            <w:proofErr w:type="spellEnd"/>
            <w:r w:rsidRPr="00CA3A64">
              <w:rPr>
                <w:rFonts w:cs="Arial"/>
                <w:sz w:val="24"/>
                <w:szCs w:val="24"/>
              </w:rPr>
              <w:t>.</w:t>
            </w:r>
            <w:r w:rsidRPr="00CA3A64">
              <w:rPr>
                <w:rFonts w:cs="Arial"/>
                <w:sz w:val="24"/>
                <w:szCs w:val="24"/>
                <w:lang w:val="en-US"/>
              </w:rPr>
              <w:t>tech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A7274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BA5F67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 w:rsidRPr="00BA5F67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CCEDB52" w:rsidR="00E85F88" w:rsidRPr="00BA5F67" w:rsidRDefault="00E85F88" w:rsidP="00BA5F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8D4958" w:rsidRPr="008D495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0D93">
              <w:rPr>
                <w:rFonts w:cs="Arial"/>
                <w:b/>
                <w:sz w:val="24"/>
                <w:szCs w:val="24"/>
              </w:rPr>
              <w:t>на</w:t>
            </w:r>
            <w:r w:rsidR="009321CE">
              <w:rPr>
                <w:rFonts w:cs="Arial"/>
                <w:b/>
                <w:sz w:val="24"/>
                <w:szCs w:val="24"/>
              </w:rPr>
              <w:t xml:space="preserve"> оказание услуг </w:t>
            </w:r>
            <w:proofErr w:type="gramStart"/>
            <w:r w:rsidR="009321CE">
              <w:rPr>
                <w:rFonts w:cs="Arial"/>
                <w:b/>
                <w:sz w:val="24"/>
                <w:szCs w:val="24"/>
              </w:rPr>
              <w:t xml:space="preserve">по </w:t>
            </w:r>
            <w:r w:rsidR="007C0DF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368BF" w:rsidRPr="007368BF">
              <w:rPr>
                <w:rFonts w:cs="Arial"/>
                <w:b/>
                <w:sz w:val="24"/>
                <w:szCs w:val="24"/>
              </w:rPr>
              <w:t>организац</w:t>
            </w:r>
            <w:r w:rsidR="009321CE">
              <w:rPr>
                <w:rFonts w:cs="Arial"/>
                <w:b/>
                <w:sz w:val="24"/>
                <w:szCs w:val="24"/>
              </w:rPr>
              <w:t>ии</w:t>
            </w:r>
            <w:proofErr w:type="gramEnd"/>
            <w:r w:rsidR="007368BF" w:rsidRPr="007368BF">
              <w:rPr>
                <w:rFonts w:cs="Arial"/>
                <w:b/>
                <w:sz w:val="24"/>
                <w:szCs w:val="24"/>
              </w:rPr>
              <w:t xml:space="preserve"> и проведен</w:t>
            </w:r>
            <w:r w:rsidR="009321CE">
              <w:rPr>
                <w:rFonts w:cs="Arial"/>
                <w:b/>
                <w:sz w:val="24"/>
                <w:szCs w:val="24"/>
              </w:rPr>
              <w:t>ию</w:t>
            </w:r>
            <w:r w:rsidR="007368BF" w:rsidRPr="007368BF">
              <w:rPr>
                <w:rFonts w:cs="Arial"/>
                <w:b/>
                <w:sz w:val="24"/>
                <w:szCs w:val="24"/>
              </w:rPr>
              <w:t xml:space="preserve"> комплексных мероприятий по безопасной разработке (</w:t>
            </w:r>
            <w:proofErr w:type="spellStart"/>
            <w:r w:rsidR="007368BF" w:rsidRPr="007368BF">
              <w:rPr>
                <w:rFonts w:cs="Arial"/>
                <w:b/>
                <w:sz w:val="24"/>
                <w:szCs w:val="24"/>
              </w:rPr>
              <w:t>AppSec</w:t>
            </w:r>
            <w:proofErr w:type="spellEnd"/>
            <w:r w:rsidR="007368BF" w:rsidRPr="007368BF">
              <w:rPr>
                <w:rFonts w:cs="Arial"/>
                <w:b/>
                <w:sz w:val="24"/>
                <w:szCs w:val="24"/>
              </w:rPr>
              <w:t xml:space="preserve">) для сотрудников холдинга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83FF45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F142F3">
              <w:rPr>
                <w:rStyle w:val="a4"/>
              </w:rPr>
              <w:t>(</w:t>
            </w:r>
            <w:r w:rsidR="008D4958" w:rsidRPr="008D4958">
              <w:rPr>
                <w:rStyle w:val="a4"/>
                <w:lang w:val="en-US"/>
              </w:rPr>
              <w:t>https</w:t>
            </w:r>
            <w:r w:rsidR="008D4958" w:rsidRPr="00F142F3">
              <w:rPr>
                <w:rStyle w:val="a4"/>
              </w:rPr>
              <w:t>://</w:t>
            </w:r>
            <w:r w:rsidR="008D4958" w:rsidRPr="008D4958">
              <w:rPr>
                <w:rStyle w:val="a4"/>
                <w:lang w:val="en-US"/>
              </w:rPr>
              <w:t>business</w:t>
            </w:r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roseltorg</w:t>
            </w:r>
            <w:proofErr w:type="spellEnd"/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ru</w:t>
            </w:r>
            <w:proofErr w:type="spellEnd"/>
            <w:r w:rsidR="008D4958" w:rsidRPr="00F142F3">
              <w:rPr>
                <w:rStyle w:val="a4"/>
              </w:rPr>
              <w:t>/</w:t>
            </w:r>
            <w:r w:rsidRPr="00F142F3">
              <w:rPr>
                <w:rStyle w:val="a4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2E81D852" w14:textId="5F2695B8" w:rsidR="008D4958" w:rsidRDefault="00AF0239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4D3A81B0" w:rsidR="008E6073" w:rsidRPr="008E6073" w:rsidRDefault="008E607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59C1EF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</w:p>
          <w:p w14:paraId="26F6B48F" w14:textId="35F016A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5E8DB9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0E7C524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8D4958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47BDAF3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62D05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3B9F8AE" w:rsidR="008E6073" w:rsidRPr="008D4958" w:rsidRDefault="00052BA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72740652" w:rsidR="005C4B30" w:rsidRPr="005C4B30" w:rsidRDefault="00F06049" w:rsidP="008D4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8D4958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FE5736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EE63F6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9A5E83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4099A" w:rsidRPr="008E6073" w14:paraId="503539BC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F388570" w14:textId="77777777" w:rsidR="0084099A" w:rsidRPr="008E6073" w:rsidRDefault="0084099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CECF33" w14:textId="77777777" w:rsidR="00CA3A64" w:rsidRDefault="0084099A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Приложение 6.</w:t>
            </w:r>
            <w:r w:rsidR="004E0D93">
              <w:rPr>
                <w:rFonts w:cs="Arial"/>
                <w:sz w:val="24"/>
                <w:szCs w:val="24"/>
              </w:rPr>
              <w:t xml:space="preserve"> Презентация Холдинг Т1</w:t>
            </w:r>
          </w:p>
          <w:p w14:paraId="5663DD7F" w14:textId="3F1033C6" w:rsidR="0084099A" w:rsidRPr="008E6073" w:rsidRDefault="00CA3A64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Приложение 7. Форма договора</w:t>
            </w:r>
            <w:bookmarkStart w:id="0" w:name="_GoBack"/>
            <w:bookmarkEnd w:id="0"/>
            <w:r w:rsidR="0084099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7A8406BC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7A46AB81" w14:textId="23E7BC1C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8D4958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7CD83C3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62D05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8797F4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62D05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d"/>
        <w:rPr>
          <w:noProof/>
        </w:rPr>
      </w:pPr>
    </w:p>
    <w:p w14:paraId="7A8EE7CA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77EF1239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A3985F3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6D6812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8695EF0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11CB3AE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462B741A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244964B4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27BAD1FB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05E5B8EB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19983B3E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36469102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4975110D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6B4A7A98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04468C06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A9A8809" w14:textId="77777777" w:rsidR="00293488" w:rsidRDefault="00293488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2176835F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3</w:t>
      </w:r>
    </w:p>
    <w:p w14:paraId="28F671A5" w14:textId="11A65095" w:rsidR="00B60140" w:rsidRPr="007742C9" w:rsidRDefault="00C240D2" w:rsidP="008D49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37407BEA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5737DAB8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6F359F9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4A72F0C9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071A67CA" w14:textId="75D20AB6" w:rsidR="00C240D2" w:rsidRPr="00293488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700"/>
        <w:gridCol w:w="1763"/>
        <w:gridCol w:w="3335"/>
      </w:tblGrid>
      <w:tr w:rsidR="00C240D2" w:rsidRPr="001D0638" w14:paraId="73D550D5" w14:textId="77777777" w:rsidTr="00293488">
        <w:tc>
          <w:tcPr>
            <w:tcW w:w="687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700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33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293488">
        <w:tc>
          <w:tcPr>
            <w:tcW w:w="687" w:type="dxa"/>
            <w:shd w:val="clear" w:color="auto" w:fill="auto"/>
          </w:tcPr>
          <w:p w14:paraId="598AF7E9" w14:textId="77777777" w:rsidR="00C240D2" w:rsidRPr="00BA5F67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BA5F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14:paraId="43557B4A" w14:textId="5906AD69" w:rsidR="00C240D2" w:rsidRPr="009F4856" w:rsidRDefault="00C240D2" w:rsidP="00BD75A0">
            <w:r w:rsidRPr="009F4856"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F0182A" w:rsidRPr="009F4856">
              <w:t>2023</w:t>
            </w:r>
            <w:r w:rsidR="00BA5F67" w:rsidRPr="009F4856">
              <w:t xml:space="preserve"> год</w:t>
            </w:r>
            <w:r w:rsidRPr="009F4856">
              <w:t xml:space="preserve">), но не менее </w:t>
            </w:r>
            <w:r w:rsidR="009321CE">
              <w:t xml:space="preserve">7 </w:t>
            </w:r>
            <w:r w:rsidRPr="009F4856">
              <w:t xml:space="preserve">млн. руб. 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9F4856" w:rsidRDefault="00C240D2" w:rsidP="00BD75A0"/>
        </w:tc>
        <w:tc>
          <w:tcPr>
            <w:tcW w:w="3335" w:type="dxa"/>
            <w:shd w:val="clear" w:color="auto" w:fill="auto"/>
          </w:tcPr>
          <w:p w14:paraId="3D31075B" w14:textId="437A380A" w:rsidR="00C240D2" w:rsidRPr="009F4856" w:rsidRDefault="00D441ED" w:rsidP="00BD75A0">
            <w:r w:rsidRPr="009F4856">
              <w:t>Бухгалтерский баланс за последний отчетный период с доказательством получения налоговым органом</w:t>
            </w:r>
            <w:r w:rsidR="004E0D93" w:rsidRPr="009F4856">
              <w:t xml:space="preserve"> предоставить в комплекте документов</w:t>
            </w:r>
          </w:p>
        </w:tc>
      </w:tr>
      <w:tr w:rsidR="009F4856" w:rsidRPr="001D0638" w14:paraId="4F28C737" w14:textId="77777777" w:rsidTr="00293488">
        <w:tc>
          <w:tcPr>
            <w:tcW w:w="687" w:type="dxa"/>
            <w:shd w:val="clear" w:color="auto" w:fill="auto"/>
          </w:tcPr>
          <w:p w14:paraId="2DCE79AD" w14:textId="4CE820AC" w:rsidR="009F4856" w:rsidRPr="00BA5F67" w:rsidRDefault="00A138E5" w:rsidP="009F4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00" w:type="dxa"/>
            <w:shd w:val="clear" w:color="auto" w:fill="auto"/>
          </w:tcPr>
          <w:p w14:paraId="651EB04C" w14:textId="6F0DB61A" w:rsidR="009F4856" w:rsidRPr="00BA5F67" w:rsidRDefault="009F4856" w:rsidP="009F4856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4F5914">
              <w:t xml:space="preserve">Согласие с условиями проекта договора Заказчика в полном объеме 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9F4856" w:rsidRPr="001D0638" w:rsidRDefault="009F4856" w:rsidP="009F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6A07FAAE" w14:textId="0E20C0C7" w:rsidR="009F4856" w:rsidRPr="004E0D93" w:rsidRDefault="009F4856" w:rsidP="009F4856">
            <w:pPr>
              <w:rPr>
                <w:rFonts w:ascii="Arial" w:hAnsi="Arial" w:cs="Arial"/>
                <w:i/>
                <w:color w:val="0070C0"/>
                <w:sz w:val="18"/>
                <w:szCs w:val="24"/>
              </w:rPr>
            </w:pPr>
            <w:r w:rsidRPr="004F5914">
              <w:t>Подтверждается заполненным и подписанным Приложением 4 Информационной карты закупочной процедуры</w:t>
            </w:r>
          </w:p>
        </w:tc>
      </w:tr>
      <w:tr w:rsidR="009321CE" w:rsidRPr="001D0638" w14:paraId="61F14A9E" w14:textId="77777777" w:rsidTr="00293488">
        <w:tc>
          <w:tcPr>
            <w:tcW w:w="687" w:type="dxa"/>
            <w:shd w:val="clear" w:color="auto" w:fill="auto"/>
          </w:tcPr>
          <w:p w14:paraId="39650E06" w14:textId="5449F2C4" w:rsidR="009321CE" w:rsidRPr="00BA5F67" w:rsidRDefault="00A138E5" w:rsidP="009F4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00" w:type="dxa"/>
            <w:shd w:val="clear" w:color="auto" w:fill="auto"/>
          </w:tcPr>
          <w:p w14:paraId="74D7C1B6" w14:textId="7602B07B" w:rsidR="009321CE" w:rsidRPr="004F5914" w:rsidRDefault="009321CE" w:rsidP="009F4856">
            <w:r>
              <w:t>О</w:t>
            </w:r>
            <w:r w:rsidRPr="009321CE">
              <w:t>пыт организации и проведения соревнований по захвату флага CTF (</w:t>
            </w:r>
            <w:proofErr w:type="spellStart"/>
            <w:r w:rsidRPr="009321CE">
              <w:t>Capture</w:t>
            </w:r>
            <w:proofErr w:type="spellEnd"/>
            <w:r w:rsidRPr="009321CE">
              <w:t xml:space="preserve"> </w:t>
            </w:r>
            <w:proofErr w:type="spellStart"/>
            <w:r w:rsidRPr="009321CE">
              <w:t>the</w:t>
            </w:r>
            <w:proofErr w:type="spellEnd"/>
            <w:r w:rsidRPr="009321CE">
              <w:t xml:space="preserve"> </w:t>
            </w:r>
            <w:proofErr w:type="spellStart"/>
            <w:r w:rsidRPr="009321CE">
              <w:t>Flag</w:t>
            </w:r>
            <w:proofErr w:type="spellEnd"/>
            <w:r w:rsidRPr="009321CE">
              <w:t xml:space="preserve">) для </w:t>
            </w:r>
            <w:proofErr w:type="spellStart"/>
            <w:r w:rsidRPr="009321CE">
              <w:t>Android</w:t>
            </w:r>
            <w:proofErr w:type="spellEnd"/>
            <w:r w:rsidRPr="009321CE">
              <w:t xml:space="preserve">, </w:t>
            </w:r>
            <w:proofErr w:type="spellStart"/>
            <w:r w:rsidRPr="009321CE">
              <w:t>iOS</w:t>
            </w:r>
            <w:proofErr w:type="spellEnd"/>
            <w:r w:rsidRPr="009321CE">
              <w:t xml:space="preserve"> и веб уязвимостей</w:t>
            </w:r>
          </w:p>
        </w:tc>
        <w:tc>
          <w:tcPr>
            <w:tcW w:w="1763" w:type="dxa"/>
            <w:shd w:val="clear" w:color="auto" w:fill="auto"/>
          </w:tcPr>
          <w:p w14:paraId="142F528A" w14:textId="77777777" w:rsidR="009321CE" w:rsidRPr="001D0638" w:rsidRDefault="009321CE" w:rsidP="009F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767E2F80" w14:textId="2DEE7809" w:rsidR="009321CE" w:rsidRPr="004F5914" w:rsidRDefault="009321CE" w:rsidP="009F4856">
            <w:r w:rsidRPr="009321CE">
              <w:t>портфолио с 3-5 подтверждениями о проведении CTF в других компаниях (благодарственные письма).</w:t>
            </w:r>
          </w:p>
        </w:tc>
      </w:tr>
      <w:tr w:rsidR="009321CE" w:rsidRPr="001D0638" w14:paraId="1BC656E8" w14:textId="77777777" w:rsidTr="00293488">
        <w:tc>
          <w:tcPr>
            <w:tcW w:w="687" w:type="dxa"/>
            <w:shd w:val="clear" w:color="auto" w:fill="auto"/>
          </w:tcPr>
          <w:p w14:paraId="168AD57D" w14:textId="11ED590C" w:rsidR="009321CE" w:rsidRDefault="00A138E5" w:rsidP="009F4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00" w:type="dxa"/>
            <w:shd w:val="clear" w:color="auto" w:fill="auto"/>
          </w:tcPr>
          <w:p w14:paraId="672CD73A" w14:textId="13A97FD6" w:rsidR="009321CE" w:rsidRPr="009321CE" w:rsidRDefault="009321CE" w:rsidP="009F4856">
            <w:r>
              <w:t>О</w:t>
            </w:r>
            <w:r w:rsidRPr="009321CE">
              <w:t>пыт разработки материалов и интерактивных тренажёров по безопасности приложений (</w:t>
            </w:r>
            <w:proofErr w:type="spellStart"/>
            <w:r w:rsidRPr="009321CE">
              <w:t>AppSec</w:t>
            </w:r>
            <w:proofErr w:type="spellEnd"/>
            <w:r w:rsidRPr="009321CE">
              <w:t>)</w:t>
            </w:r>
          </w:p>
        </w:tc>
        <w:tc>
          <w:tcPr>
            <w:tcW w:w="1763" w:type="dxa"/>
            <w:shd w:val="clear" w:color="auto" w:fill="auto"/>
          </w:tcPr>
          <w:p w14:paraId="3E49BC77" w14:textId="77777777" w:rsidR="009321CE" w:rsidRPr="001D0638" w:rsidRDefault="009321CE" w:rsidP="009F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2DCFE664" w14:textId="2EBDF922" w:rsidR="009321CE" w:rsidRPr="009321CE" w:rsidRDefault="009321CE" w:rsidP="009F4856">
            <w:r w:rsidRPr="009321CE">
              <w:t>портфолио с 3-5 подтверждениями о проведении</w:t>
            </w:r>
            <w:r>
              <w:t xml:space="preserve"> курсов</w:t>
            </w:r>
          </w:p>
        </w:tc>
      </w:tr>
      <w:tr w:rsidR="009321CE" w:rsidRPr="001D0638" w14:paraId="2929DD85" w14:textId="77777777" w:rsidTr="00293488">
        <w:tc>
          <w:tcPr>
            <w:tcW w:w="687" w:type="dxa"/>
            <w:shd w:val="clear" w:color="auto" w:fill="auto"/>
          </w:tcPr>
          <w:p w14:paraId="2AFF0BB3" w14:textId="4E6BA41C" w:rsidR="009321CE" w:rsidRDefault="00A138E5" w:rsidP="009F4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00" w:type="dxa"/>
            <w:shd w:val="clear" w:color="auto" w:fill="auto"/>
          </w:tcPr>
          <w:p w14:paraId="15708AD3" w14:textId="7A109109" w:rsidR="009321CE" w:rsidRPr="009321CE" w:rsidRDefault="009321CE" w:rsidP="009F4856">
            <w:r>
              <w:t>П</w:t>
            </w:r>
            <w:r w:rsidRPr="009321CE">
              <w:t xml:space="preserve">ри разработке материалов и мероприятий должны принимать участие эксперты и авторы </w:t>
            </w:r>
            <w:r>
              <w:t>(</w:t>
            </w:r>
            <w:r w:rsidRPr="009321CE">
              <w:t>2 и больше) программ являю</w:t>
            </w:r>
            <w:r>
              <w:t>щиеся</w:t>
            </w:r>
            <w:r w:rsidRPr="009321CE">
              <w:t xml:space="preserve"> действующими сотрудниками компаний-лидеров в области кибербезопасности и </w:t>
            </w:r>
            <w:proofErr w:type="spellStart"/>
            <w:r w:rsidRPr="009321CE">
              <w:t>AppSec</w:t>
            </w:r>
            <w:proofErr w:type="spellEnd"/>
            <w:r w:rsidRPr="009321CE">
              <w:t>, имею</w:t>
            </w:r>
            <w:r>
              <w:t>щие</w:t>
            </w:r>
            <w:r w:rsidRPr="009321CE">
              <w:t xml:space="preserve"> общий стаж преподавания не менее 2 лет, а также облада</w:t>
            </w:r>
            <w:r>
              <w:t>ющие</w:t>
            </w:r>
            <w:r w:rsidRPr="009321CE">
              <w:t xml:space="preserve"> сертификатами и документами, </w:t>
            </w:r>
            <w:r w:rsidRPr="009321CE">
              <w:lastRenderedPageBreak/>
              <w:t xml:space="preserve">подтверждающими высокий уровень экспертизы в области ИБ и </w:t>
            </w:r>
            <w:proofErr w:type="spellStart"/>
            <w:r w:rsidRPr="009321CE">
              <w:t>AppSec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198A8E5B" w14:textId="77777777" w:rsidR="009321CE" w:rsidRPr="001D0638" w:rsidRDefault="009321CE" w:rsidP="009F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7383FA65" w14:textId="3A1E3F92" w:rsidR="009321CE" w:rsidRPr="009321CE" w:rsidRDefault="009321CE" w:rsidP="009F4856">
            <w:r w:rsidRPr="009321CE">
              <w:t>стаж подтверждается выдержкой из резюме, например, о местах работы</w:t>
            </w:r>
            <w:r>
              <w:t xml:space="preserve">, </w:t>
            </w:r>
            <w:r w:rsidRPr="009321CE">
              <w:t xml:space="preserve">сертификаты по желанию, если есть в этой </w:t>
            </w:r>
            <w:proofErr w:type="gramStart"/>
            <w:r w:rsidRPr="009321CE">
              <w:t>области</w:t>
            </w:r>
            <w:r>
              <w:t xml:space="preserve">,  </w:t>
            </w:r>
            <w:r w:rsidRPr="009321CE">
              <w:t>описание</w:t>
            </w:r>
            <w:proofErr w:type="gramEnd"/>
            <w:r w:rsidRPr="009321CE">
              <w:t xml:space="preserve"> опыта обучения в произвольном формате</w:t>
            </w:r>
          </w:p>
        </w:tc>
      </w:tr>
      <w:tr w:rsidR="009321CE" w:rsidRPr="001D0638" w14:paraId="783F9DB1" w14:textId="77777777" w:rsidTr="00293488">
        <w:tc>
          <w:tcPr>
            <w:tcW w:w="687" w:type="dxa"/>
            <w:shd w:val="clear" w:color="auto" w:fill="auto"/>
          </w:tcPr>
          <w:p w14:paraId="39C82715" w14:textId="5CAD1B22" w:rsidR="009321CE" w:rsidRDefault="00A138E5" w:rsidP="009F4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00" w:type="dxa"/>
            <w:shd w:val="clear" w:color="auto" w:fill="auto"/>
          </w:tcPr>
          <w:p w14:paraId="4E9023B9" w14:textId="45795A1D" w:rsidR="009321CE" w:rsidRDefault="00A138E5" w:rsidP="009F4856">
            <w:r>
              <w:t>У</w:t>
            </w:r>
            <w:r w:rsidRPr="00A138E5">
              <w:t xml:space="preserve">спешный подтвержденный опыт организации и проведения мероприятий по теме </w:t>
            </w:r>
            <w:proofErr w:type="spellStart"/>
            <w:r w:rsidRPr="00A138E5">
              <w:t>AppSec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0AB75AE9" w14:textId="77777777" w:rsidR="009321CE" w:rsidRPr="001D0638" w:rsidRDefault="009321CE" w:rsidP="009F48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</w:tcPr>
          <w:p w14:paraId="1FC1533A" w14:textId="348E2E82" w:rsidR="00A138E5" w:rsidRDefault="00A138E5" w:rsidP="00A138E5">
            <w:r w:rsidRPr="00A138E5">
              <w:t xml:space="preserve">портфолио с 3-5 подтверждениями о проведении </w:t>
            </w:r>
            <w:r>
              <w:t xml:space="preserve">мероприятий </w:t>
            </w:r>
            <w:r w:rsidRPr="00A138E5">
              <w:t>в других компаниях</w:t>
            </w:r>
            <w:r>
              <w:t>,</w:t>
            </w:r>
            <w:r w:rsidRPr="00A138E5">
              <w:t xml:space="preserve"> </w:t>
            </w:r>
            <w:r>
              <w:t>к</w:t>
            </w:r>
            <w:r w:rsidRPr="00A138E5">
              <w:t>опи</w:t>
            </w:r>
            <w:r>
              <w:t>и</w:t>
            </w:r>
            <w:r w:rsidRPr="00A138E5">
              <w:t xml:space="preserve"> договоров (допускается сокрытие конфиденциальной, коммерческой информации</w:t>
            </w:r>
            <w:r>
              <w:t>,</w:t>
            </w:r>
          </w:p>
          <w:p w14:paraId="372742EF" w14:textId="12BAB513" w:rsidR="009321CE" w:rsidRPr="009321CE" w:rsidRDefault="00A138E5" w:rsidP="00A138E5">
            <w:r w:rsidRPr="00A138E5">
              <w:t>благодарственные письма</w:t>
            </w:r>
            <w:r>
              <w:t>.</w:t>
            </w:r>
          </w:p>
        </w:tc>
      </w:tr>
    </w:tbl>
    <w:p w14:paraId="3986B35C" w14:textId="3EA0CE7C" w:rsidR="00C240D2" w:rsidRPr="00456F45" w:rsidRDefault="009321CE" w:rsidP="00C240D2">
      <w:r>
        <w:t xml:space="preserve"> 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87EDC6" w14:textId="77777777" w:rsidR="004E0D93" w:rsidRDefault="004E0D93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5E5A21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4</w:t>
      </w:r>
    </w:p>
    <w:p w14:paraId="514205E2" w14:textId="6AFB7992" w:rsidR="003E50A3" w:rsidRPr="007742C9" w:rsidRDefault="003E50A3" w:rsidP="00D441E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78506E1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D441ED" w:rsidRPr="003E50A3">
        <w:rPr>
          <w:rFonts w:ascii="Arial" w:hAnsi="Arial" w:cs="Arial"/>
          <w:sz w:val="24"/>
          <w:szCs w:val="24"/>
        </w:rPr>
        <w:t xml:space="preserve">: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8B0EF2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0EFF3C3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13E291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675DF680" w:rsid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1AC68B35" w14:textId="326963C2" w:rsidR="00720F7C" w:rsidRPr="003E50A3" w:rsidRDefault="00720F7C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720F7C">
        <w:rPr>
          <w:rFonts w:ascii="Arial" w:hAnsi="Arial" w:cs="Arial"/>
          <w:b/>
          <w:sz w:val="24"/>
          <w:szCs w:val="24"/>
        </w:rPr>
        <w:t>Условия оплаты: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указать отсрочку отплаты в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к.д</w:t>
      </w:r>
      <w:proofErr w:type="spellEnd"/>
      <w:r>
        <w:rPr>
          <w:rFonts w:ascii="Arial" w:hAnsi="Arial" w:cs="Arial"/>
          <w:i/>
          <w:color w:val="0070C0"/>
          <w:sz w:val="24"/>
          <w:szCs w:val="24"/>
        </w:rPr>
        <w:t xml:space="preserve">. в случае 100%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постоплаты</w:t>
      </w:r>
      <w:proofErr w:type="spellEnd"/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615B6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62D05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8D141C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D441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D495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D495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D495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D495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D495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D495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D495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9321CE" w:rsidRDefault="009321CE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9321CE" w:rsidRDefault="0093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321CE" w:rsidRPr="00F56C11" w:rsidRDefault="00CA3A6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321CE" w:rsidRPr="00F56C11">
          <w:fldChar w:fldCharType="begin"/>
        </w:r>
        <w:r w:rsidR="009321CE" w:rsidRPr="00F56C11">
          <w:instrText>PAGE   \* MERGEFORMAT</w:instrText>
        </w:r>
        <w:r w:rsidR="009321CE" w:rsidRPr="00F56C11">
          <w:fldChar w:fldCharType="separate"/>
        </w:r>
        <w:r w:rsidR="009321CE" w:rsidRPr="00F56C11">
          <w:t>2</w:t>
        </w:r>
        <w:r w:rsidR="009321CE" w:rsidRPr="00F56C11">
          <w:fldChar w:fldCharType="end"/>
        </w:r>
      </w:sdtContent>
    </w:sdt>
    <w:r w:rsidR="009321CE" w:rsidRPr="00F56C11">
      <w:t xml:space="preserve"> </w:t>
    </w:r>
  </w:p>
  <w:p w14:paraId="6EF5EEEF" w14:textId="77777777" w:rsidR="009321CE" w:rsidRDefault="009321CE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321CE" w:rsidRPr="00536897" w:rsidRDefault="009321CE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9321CE" w:rsidRDefault="009321CE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9321CE" w:rsidRDefault="009321CE">
      <w:pPr>
        <w:spacing w:after="0" w:line="240" w:lineRule="auto"/>
      </w:pPr>
      <w:r>
        <w:continuationSeparator/>
      </w:r>
    </w:p>
  </w:footnote>
  <w:footnote w:id="1">
    <w:p w14:paraId="4CA1B5E8" w14:textId="77777777" w:rsidR="009321CE" w:rsidRDefault="009321CE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9321CE" w:rsidRPr="00986725" w:rsidRDefault="009321CE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9321CE" w:rsidRDefault="009321CE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321CE" w:rsidRDefault="009321CE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321CE" w:rsidRDefault="009321CE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321CE" w:rsidRDefault="009321C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3C57"/>
    <w:multiLevelType w:val="hybridMultilevel"/>
    <w:tmpl w:val="3BB4D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4D77"/>
    <w:multiLevelType w:val="hybridMultilevel"/>
    <w:tmpl w:val="0B5AE3E8"/>
    <w:lvl w:ilvl="0" w:tplc="C5D04D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1EF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2F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4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6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53464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3488"/>
    <w:rsid w:val="002A5840"/>
    <w:rsid w:val="00313085"/>
    <w:rsid w:val="00334E74"/>
    <w:rsid w:val="00352359"/>
    <w:rsid w:val="0035246E"/>
    <w:rsid w:val="00370C00"/>
    <w:rsid w:val="003902FD"/>
    <w:rsid w:val="0039757F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D93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A7274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0F7C"/>
    <w:rsid w:val="007225C2"/>
    <w:rsid w:val="00730B6B"/>
    <w:rsid w:val="007368BF"/>
    <w:rsid w:val="007613C2"/>
    <w:rsid w:val="007742C9"/>
    <w:rsid w:val="007814BA"/>
    <w:rsid w:val="00781FF7"/>
    <w:rsid w:val="007A6299"/>
    <w:rsid w:val="007C0DFB"/>
    <w:rsid w:val="007E29F3"/>
    <w:rsid w:val="0080688A"/>
    <w:rsid w:val="00807E44"/>
    <w:rsid w:val="00817EC0"/>
    <w:rsid w:val="0084099A"/>
    <w:rsid w:val="008576C0"/>
    <w:rsid w:val="00862D05"/>
    <w:rsid w:val="00873BC7"/>
    <w:rsid w:val="008D4958"/>
    <w:rsid w:val="008E6073"/>
    <w:rsid w:val="009169A0"/>
    <w:rsid w:val="009321CE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9F4856"/>
    <w:rsid w:val="00A138E5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A5F67"/>
    <w:rsid w:val="00BC18EC"/>
    <w:rsid w:val="00BC2135"/>
    <w:rsid w:val="00BD75A0"/>
    <w:rsid w:val="00BE269B"/>
    <w:rsid w:val="00BE5118"/>
    <w:rsid w:val="00BE5232"/>
    <w:rsid w:val="00BF124A"/>
    <w:rsid w:val="00BF27FE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A3A64"/>
    <w:rsid w:val="00CB542A"/>
    <w:rsid w:val="00CC5FFA"/>
    <w:rsid w:val="00CD0146"/>
    <w:rsid w:val="00CF0468"/>
    <w:rsid w:val="00CF613F"/>
    <w:rsid w:val="00D04491"/>
    <w:rsid w:val="00D25D87"/>
    <w:rsid w:val="00D30434"/>
    <w:rsid w:val="00D441ED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182A"/>
    <w:rsid w:val="00F06049"/>
    <w:rsid w:val="00F142F3"/>
    <w:rsid w:val="00F262FE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4E0D93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Malyshev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Малышева Светлана Викторовна</cp:lastModifiedBy>
  <cp:revision>6</cp:revision>
  <dcterms:created xsi:type="dcterms:W3CDTF">2024-10-14T11:20:00Z</dcterms:created>
  <dcterms:modified xsi:type="dcterms:W3CDTF">2024-12-04T08:34:00Z</dcterms:modified>
</cp:coreProperties>
</file>