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58D2" w14:textId="77777777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spacing w:before="360" w:after="240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Техническое задание</w:t>
      </w:r>
    </w:p>
    <w:p w14:paraId="02F060D6" w14:textId="77777777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г. Москва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28 июня 2024 г.</w:t>
      </w:r>
    </w:p>
    <w:p w14:paraId="5ABF9E9F" w14:textId="77777777" w:rsidR="00356176" w:rsidRPr="00493E76" w:rsidRDefault="00356176" w:rsidP="00794FE1">
      <w:pPr>
        <w:pBdr>
          <w:top w:val="nil"/>
          <w:left w:val="nil"/>
          <w:bottom w:val="nil"/>
          <w:right w:val="nil"/>
          <w:between w:val="nil"/>
        </w:pBdr>
        <w:spacing w:after="60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353267" w14:textId="4CCC40BC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Холдинг Т1 настоящим объявляет о проведении RFP</w:t>
      </w: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— запроса предложений и приглашает юридических лиц подавать свои предложения для заключения долгосрочного договора сроком на </w:t>
      </w:r>
      <w:r w:rsidR="00711AE8" w:rsidRPr="00493E76">
        <w:rPr>
          <w:rFonts w:ascii="Arial" w:eastAsia="Arial" w:hAnsi="Arial" w:cs="Arial"/>
          <w:color w:val="000000"/>
          <w:sz w:val="20"/>
          <w:szCs w:val="20"/>
        </w:rPr>
        <w:t xml:space="preserve">24 месяца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>на оказание услуг в соответствии с описанием и спецификацией.</w:t>
      </w:r>
    </w:p>
    <w:p w14:paraId="07DB4E79" w14:textId="42A62F7B" w:rsidR="00356176" w:rsidRPr="00493E76" w:rsidRDefault="003F17D6" w:rsidP="00BF117F">
      <w:pPr>
        <w:pStyle w:val="ab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ОБЩАЯ ИНФОРМАЦИЯ О ЗАКАЗЧИКЕ</w:t>
      </w:r>
    </w:p>
    <w:p w14:paraId="035E1C27" w14:textId="77777777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О Холдинге Т1</w:t>
      </w:r>
    </w:p>
    <w:p w14:paraId="4C6AAD61" w14:textId="77777777" w:rsidR="00356176" w:rsidRPr="00493E76" w:rsidRDefault="0048373B" w:rsidP="00794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 xml:space="preserve">Т1 – </w:t>
      </w:r>
      <w:r w:rsidRPr="00493E76">
        <w:rPr>
          <w:rFonts w:ascii="Arial" w:eastAsia="Arial" w:hAnsi="Arial" w:cs="Arial"/>
          <w:b/>
          <w:sz w:val="20"/>
          <w:szCs w:val="20"/>
        </w:rPr>
        <w:t>многопрофильный холдинг</w:t>
      </w:r>
      <w:r w:rsidRPr="00493E76">
        <w:rPr>
          <w:rFonts w:ascii="Arial" w:eastAsia="Arial" w:hAnsi="Arial" w:cs="Arial"/>
          <w:sz w:val="20"/>
          <w:szCs w:val="20"/>
        </w:rPr>
        <w:t xml:space="preserve">, один из лидеров российского ИТ-рынка, </w:t>
      </w:r>
      <w:r w:rsidRPr="00493E76">
        <w:rPr>
          <w:rFonts w:ascii="Arial" w:eastAsia="Arial" w:hAnsi="Arial" w:cs="Arial"/>
          <w:b/>
          <w:sz w:val="20"/>
          <w:szCs w:val="20"/>
        </w:rPr>
        <w:t>является партнером ключевых производителей и разработчиков в сфере информационных технологий</w:t>
      </w:r>
      <w:r w:rsidRPr="00493E76">
        <w:rPr>
          <w:rFonts w:ascii="Arial" w:eastAsia="Arial" w:hAnsi="Arial" w:cs="Arial"/>
          <w:sz w:val="20"/>
          <w:szCs w:val="20"/>
        </w:rPr>
        <w:t>.</w:t>
      </w:r>
    </w:p>
    <w:p w14:paraId="338A3855" w14:textId="77777777" w:rsidR="00356176" w:rsidRPr="00493E76" w:rsidRDefault="0048373B" w:rsidP="00794FE1">
      <w:pPr>
        <w:numPr>
          <w:ilvl w:val="0"/>
          <w:numId w:val="3"/>
        </w:numP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>Компании холдинга начинают историю</w:t>
      </w:r>
      <w:r w:rsidRPr="00493E76">
        <w:rPr>
          <w:rFonts w:ascii="Arial" w:eastAsia="Arial" w:hAnsi="Arial" w:cs="Arial"/>
          <w:b/>
          <w:sz w:val="20"/>
          <w:szCs w:val="20"/>
        </w:rPr>
        <w:t xml:space="preserve"> с 1992 г</w:t>
      </w:r>
      <w:r w:rsidRPr="00493E76">
        <w:rPr>
          <w:rFonts w:ascii="Arial" w:eastAsia="Arial" w:hAnsi="Arial" w:cs="Arial"/>
          <w:sz w:val="20"/>
          <w:szCs w:val="20"/>
        </w:rPr>
        <w:t>.</w:t>
      </w:r>
    </w:p>
    <w:p w14:paraId="589FE367" w14:textId="5FFB0642" w:rsidR="00356176" w:rsidRPr="00493E76" w:rsidRDefault="0048373B" w:rsidP="00794FE1">
      <w:pPr>
        <w:numPr>
          <w:ilvl w:val="0"/>
          <w:numId w:val="3"/>
        </w:numP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>В штате —</w:t>
      </w:r>
      <w:r w:rsidRPr="00493E76">
        <w:rPr>
          <w:rFonts w:ascii="Arial" w:eastAsia="Arial" w:hAnsi="Arial" w:cs="Arial"/>
          <w:b/>
          <w:sz w:val="20"/>
          <w:szCs w:val="20"/>
        </w:rPr>
        <w:t xml:space="preserve"> </w:t>
      </w:r>
      <w:r w:rsidR="0019247F" w:rsidRPr="00493E76">
        <w:rPr>
          <w:rFonts w:ascii="Arial" w:eastAsia="Arial" w:hAnsi="Arial" w:cs="Arial"/>
          <w:b/>
          <w:sz w:val="20"/>
          <w:szCs w:val="20"/>
        </w:rPr>
        <w:t xml:space="preserve">более </w:t>
      </w:r>
      <w:r w:rsidRPr="00493E76">
        <w:rPr>
          <w:rFonts w:ascii="Arial" w:eastAsia="Arial" w:hAnsi="Arial" w:cs="Arial"/>
          <w:b/>
          <w:sz w:val="20"/>
          <w:szCs w:val="20"/>
        </w:rPr>
        <w:t>23 тысячи сотрудников</w:t>
      </w:r>
      <w:r w:rsidRPr="00493E76">
        <w:rPr>
          <w:rFonts w:ascii="Arial" w:eastAsia="Arial" w:hAnsi="Arial" w:cs="Arial"/>
          <w:sz w:val="20"/>
          <w:szCs w:val="20"/>
        </w:rPr>
        <w:t>.</w:t>
      </w:r>
    </w:p>
    <w:p w14:paraId="08E3CE0C" w14:textId="08512CD2" w:rsidR="00356176" w:rsidRPr="00493E76" w:rsidRDefault="0048373B" w:rsidP="00794FE1">
      <w:pPr>
        <w:numPr>
          <w:ilvl w:val="0"/>
          <w:numId w:val="3"/>
        </w:numP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 xml:space="preserve">По версии аналитических агентств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CNews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Analytics</w:t>
      </w:r>
      <w:proofErr w:type="spellEnd"/>
      <w:r w:rsidR="009469CC" w:rsidRPr="009469CC">
        <w:rPr>
          <w:rFonts w:ascii="Arial" w:eastAsia="Arial" w:hAnsi="Arial" w:cs="Arial"/>
          <w:sz w:val="20"/>
          <w:szCs w:val="20"/>
        </w:rPr>
        <w:t xml:space="preserve"> </w:t>
      </w:r>
      <w:r w:rsidRPr="00493E76">
        <w:rPr>
          <w:rFonts w:ascii="Arial" w:eastAsia="Arial" w:hAnsi="Arial" w:cs="Arial"/>
          <w:sz w:val="20"/>
          <w:szCs w:val="20"/>
        </w:rPr>
        <w:t xml:space="preserve">и RAEX, Т1 </w:t>
      </w:r>
      <w:r w:rsidR="009469CC">
        <w:rPr>
          <w:rFonts w:ascii="Arial" w:eastAsia="Arial" w:hAnsi="Arial" w:cs="Arial"/>
          <w:b/>
          <w:sz w:val="20"/>
          <w:szCs w:val="20"/>
        </w:rPr>
        <w:t xml:space="preserve">является крупнейшей ИТ-компанией России. </w:t>
      </w:r>
      <w:bookmarkStart w:id="0" w:name="_GoBack"/>
      <w:bookmarkEnd w:id="0"/>
    </w:p>
    <w:p w14:paraId="26645DDB" w14:textId="77777777" w:rsidR="00356176" w:rsidRPr="00493E76" w:rsidRDefault="0048373B" w:rsidP="00794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 xml:space="preserve">Т1 предоставляет </w:t>
      </w:r>
      <w:r w:rsidRPr="00493E76">
        <w:rPr>
          <w:rFonts w:ascii="Arial" w:eastAsia="Arial" w:hAnsi="Arial" w:cs="Arial"/>
          <w:b/>
          <w:sz w:val="20"/>
          <w:szCs w:val="20"/>
        </w:rPr>
        <w:t>полный спектр ИТ-услуг</w:t>
      </w:r>
      <w:r w:rsidRPr="00493E76">
        <w:rPr>
          <w:rFonts w:ascii="Arial" w:eastAsia="Arial" w:hAnsi="Arial" w:cs="Arial"/>
          <w:sz w:val="20"/>
          <w:szCs w:val="20"/>
        </w:rPr>
        <w:t xml:space="preserve"> для реализации высокотехнологичных проектов с учетом отраслевой специфики заказчиков.</w:t>
      </w:r>
    </w:p>
    <w:p w14:paraId="73715693" w14:textId="77777777" w:rsidR="00356176" w:rsidRPr="00493E76" w:rsidRDefault="0048373B" w:rsidP="00794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 xml:space="preserve">Компетенции холдинга позволяют </w:t>
      </w:r>
      <w:r w:rsidRPr="00493E76">
        <w:rPr>
          <w:rFonts w:ascii="Arial" w:eastAsia="Arial" w:hAnsi="Arial" w:cs="Arial"/>
          <w:b/>
          <w:sz w:val="20"/>
          <w:szCs w:val="20"/>
        </w:rPr>
        <w:t>проектировать и реализовывать комплексные проекты в области цифровой трансформации</w:t>
      </w:r>
      <w:r w:rsidRPr="00493E76">
        <w:rPr>
          <w:rFonts w:ascii="Arial" w:eastAsia="Arial" w:hAnsi="Arial" w:cs="Arial"/>
          <w:sz w:val="20"/>
          <w:szCs w:val="20"/>
        </w:rPr>
        <w:t xml:space="preserve"> для заказчиков любой отрасли, уровня развития инфраструктуры и масштаба.</w:t>
      </w:r>
    </w:p>
    <w:p w14:paraId="5E133232" w14:textId="77777777" w:rsidR="00356176" w:rsidRPr="00493E76" w:rsidRDefault="0048373B" w:rsidP="00794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-138" w:firstLine="0"/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 xml:space="preserve">Среди заказчиков Т1 – </w:t>
      </w:r>
      <w:r w:rsidRPr="00493E76">
        <w:rPr>
          <w:rFonts w:ascii="Arial" w:eastAsia="Arial" w:hAnsi="Arial" w:cs="Arial"/>
          <w:b/>
          <w:sz w:val="20"/>
          <w:szCs w:val="20"/>
        </w:rPr>
        <w:t>государственные структуры и крупнейшие компании ключевых отраслей экономики</w:t>
      </w:r>
      <w:r w:rsidRPr="00493E76">
        <w:rPr>
          <w:rFonts w:ascii="Arial" w:eastAsia="Arial" w:hAnsi="Arial" w:cs="Arial"/>
          <w:sz w:val="20"/>
          <w:szCs w:val="20"/>
        </w:rPr>
        <w:t>: операторы связи, финансовые организации, промышленные, топливно-энергетические, транспортные и торговые предприятия.</w:t>
      </w:r>
    </w:p>
    <w:p w14:paraId="21799E7A" w14:textId="1A92C683" w:rsidR="00356176" w:rsidRPr="00493E76" w:rsidRDefault="003F17D6" w:rsidP="00BF117F">
      <w:pPr>
        <w:pStyle w:val="ab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 xml:space="preserve">СТРУКТУРА ХОЛДИНГА Т1 – КОММУНИКАЦИОННЫЕ ОБЪЕКТЫ ПРОДВИЖЕНИЯ </w:t>
      </w:r>
    </w:p>
    <w:p w14:paraId="51C180E4" w14:textId="1FDDF4C1" w:rsidR="00356176" w:rsidRPr="00493E76" w:rsidRDefault="0048373B" w:rsidP="00794FE1">
      <w:pPr>
        <w:ind w:left="426" w:right="-138"/>
        <w:jc w:val="both"/>
        <w:rPr>
          <w:rFonts w:ascii="Arial" w:eastAsia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sz w:val="20"/>
          <w:szCs w:val="20"/>
        </w:rPr>
        <w:t>В состав холдинга входят бизнес-направлени</w:t>
      </w:r>
      <w:r w:rsidR="007607C4" w:rsidRPr="00493E76">
        <w:rPr>
          <w:rFonts w:ascii="Arial" w:eastAsia="Arial" w:hAnsi="Arial" w:cs="Arial"/>
          <w:sz w:val="20"/>
          <w:szCs w:val="20"/>
        </w:rPr>
        <w:t>я</w:t>
      </w:r>
      <w:r w:rsidRPr="00493E76">
        <w:rPr>
          <w:rFonts w:ascii="Arial" w:eastAsia="Arial" w:hAnsi="Arial" w:cs="Arial"/>
          <w:sz w:val="20"/>
          <w:szCs w:val="20"/>
        </w:rPr>
        <w:t xml:space="preserve">, которые обладают </w:t>
      </w:r>
      <w:r w:rsidRPr="00493E76">
        <w:rPr>
          <w:rFonts w:ascii="Arial" w:eastAsia="Arial" w:hAnsi="Arial" w:cs="Arial"/>
          <w:b/>
          <w:sz w:val="20"/>
          <w:szCs w:val="20"/>
        </w:rPr>
        <w:t>профессиональной экспертизой</w:t>
      </w:r>
      <w:r w:rsidRPr="00493E76">
        <w:rPr>
          <w:rFonts w:ascii="Arial" w:eastAsia="Arial" w:hAnsi="Arial" w:cs="Arial"/>
          <w:sz w:val="20"/>
          <w:szCs w:val="20"/>
        </w:rPr>
        <w:t xml:space="preserve"> в области </w:t>
      </w:r>
      <w:r w:rsidRPr="00493E76">
        <w:rPr>
          <w:rFonts w:ascii="Arial" w:eastAsia="Arial" w:hAnsi="Arial" w:cs="Arial"/>
          <w:b/>
          <w:sz w:val="20"/>
          <w:szCs w:val="20"/>
        </w:rPr>
        <w:t>разработки ПО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системной интеграции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Big Data</w:t>
      </w:r>
      <w:r w:rsidRPr="00493E76">
        <w:rPr>
          <w:rFonts w:ascii="Arial" w:eastAsia="Arial" w:hAnsi="Arial" w:cs="Arial"/>
          <w:sz w:val="20"/>
          <w:szCs w:val="20"/>
        </w:rPr>
        <w:t xml:space="preserve"> и </w:t>
      </w:r>
      <w:r w:rsidRPr="00493E76">
        <w:rPr>
          <w:rFonts w:ascii="Arial" w:eastAsia="Arial" w:hAnsi="Arial" w:cs="Arial"/>
          <w:b/>
          <w:sz w:val="20"/>
          <w:szCs w:val="20"/>
        </w:rPr>
        <w:t>машинного обучения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облачных сервисов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информационной безопасности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консалтинга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сервисной поддержки и аутсорсинга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процессинга</w:t>
      </w:r>
      <w:r w:rsidRPr="00493E76">
        <w:rPr>
          <w:rFonts w:ascii="Arial" w:eastAsia="Arial" w:hAnsi="Arial" w:cs="Arial"/>
          <w:sz w:val="20"/>
          <w:szCs w:val="20"/>
        </w:rPr>
        <w:t xml:space="preserve">, </w:t>
      </w:r>
      <w:r w:rsidRPr="00493E76">
        <w:rPr>
          <w:rFonts w:ascii="Arial" w:eastAsia="Arial" w:hAnsi="Arial" w:cs="Arial"/>
          <w:b/>
          <w:sz w:val="20"/>
          <w:szCs w:val="20"/>
        </w:rPr>
        <w:t>дистанционного зондирования Земли</w:t>
      </w:r>
      <w:r w:rsidRPr="00493E76">
        <w:rPr>
          <w:rFonts w:ascii="Arial" w:eastAsia="Arial" w:hAnsi="Arial" w:cs="Arial"/>
          <w:sz w:val="20"/>
          <w:szCs w:val="20"/>
        </w:rPr>
        <w:t xml:space="preserve"> (ДЗЗ):</w:t>
      </w:r>
    </w:p>
    <w:p w14:paraId="077A8B1D" w14:textId="77777777" w:rsidR="00356176" w:rsidRPr="00493E76" w:rsidRDefault="00356176" w:rsidP="00794FE1">
      <w:pPr>
        <w:pBdr>
          <w:top w:val="nil"/>
          <w:left w:val="nil"/>
          <w:bottom w:val="nil"/>
          <w:right w:val="nil"/>
          <w:between w:val="nil"/>
        </w:pBdr>
        <w:ind w:left="426" w:right="-138"/>
        <w:jc w:val="both"/>
        <w:rPr>
          <w:rFonts w:ascii="Arial" w:eastAsia="Arial" w:hAnsi="Arial" w:cs="Arial"/>
          <w:sz w:val="20"/>
          <w:szCs w:val="20"/>
        </w:rPr>
      </w:pPr>
    </w:p>
    <w:p w14:paraId="78551E78" w14:textId="77777777" w:rsidR="00711AE8" w:rsidRPr="00493E76" w:rsidRDefault="00711AE8" w:rsidP="00711AE8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sz w:val="20"/>
          <w:szCs w:val="20"/>
        </w:rPr>
        <w:t>Т1 Интеграция</w:t>
      </w:r>
      <w:r w:rsidRPr="00493E76">
        <w:rPr>
          <w:rFonts w:ascii="Arial" w:eastAsia="Arial" w:hAnsi="Arial" w:cs="Arial"/>
          <w:sz w:val="20"/>
          <w:szCs w:val="20"/>
        </w:rPr>
        <w:t xml:space="preserve"> — один из лидеров рынка системной интеграции в России, обладает большим набором компетенций, подтвержденных официальными статусами от ключевых производителей и разработчиков. Компания создана в 1992 г. Продуктовый портфель компании включает свыше 300 услуг и решений в области системной интеграции, промышленного инжиниринга, промышленной автоматизации, инженерной инфраструктуры, инженерного анализа, информационной безопасности, вычислительных комплексов, реляционных баз данных, роботизации рутинных операций, процессной аналитики Process Mining, сетевых технологий, мультимедиа и коммуникаций, систем управления ИТ и мониторинга и пр. Компанией реализовано более 2000 проектов в интересах заказчиков – государственных структур и крупнейших компаний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747ED25C" w14:textId="77777777" w:rsidR="00711AE8" w:rsidRPr="00493E76" w:rsidRDefault="00711AE8" w:rsidP="00711AE8">
      <w:pPr>
        <w:pStyle w:val="ab"/>
        <w:jc w:val="both"/>
        <w:rPr>
          <w:rFonts w:ascii="Arial" w:eastAsia="Arial" w:hAnsi="Arial" w:cs="Arial"/>
          <w:b/>
          <w:sz w:val="20"/>
          <w:szCs w:val="20"/>
        </w:rPr>
      </w:pPr>
    </w:p>
    <w:p w14:paraId="4058FB7F" w14:textId="30B51C84" w:rsidR="00711AE8" w:rsidRPr="00493E76" w:rsidRDefault="00711AE8" w:rsidP="00711AE8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sz w:val="20"/>
          <w:szCs w:val="20"/>
        </w:rPr>
        <w:t>T1 Облако</w:t>
      </w:r>
      <w:r w:rsidRPr="00493E76">
        <w:rPr>
          <w:rFonts w:ascii="Arial" w:eastAsia="Arial" w:hAnsi="Arial" w:cs="Arial"/>
          <w:sz w:val="20"/>
          <w:szCs w:val="20"/>
        </w:rPr>
        <w:t xml:space="preserve"> — один из ведущих российских провайдеров облачной инфраструктуры и сервисов. Входит в ТОП-5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IaaS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-провайдеров уровня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Enterprise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 и ТОП-3 провайдеров по уровню SLA в России (Cnews Analytics, 2023). Клиенты T1 Облако — компании различных сегментов бизнеса и отраслей: финансовый сектор, ритейл, медицина и страхование, промышленность, ИТ и телеком. T1 Облако предоставляет полный портфель востребованных облачных услуг по моделям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IaaS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SaaS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DBaaS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PaaS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, сетевые сервисы CDN и стек </w:t>
      </w:r>
      <w:proofErr w:type="spellStart"/>
      <w:r w:rsidRPr="00493E76">
        <w:rPr>
          <w:rFonts w:ascii="Arial" w:eastAsia="Arial" w:hAnsi="Arial" w:cs="Arial"/>
          <w:sz w:val="20"/>
          <w:szCs w:val="20"/>
        </w:rPr>
        <w:t>импортонезависимых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 решений на базе отечественных разработок, куда входят: операционные системы Linux, система резервного копирования данных, объектное S3 хранилище, облачный диск, платформа для корпоративных коммуникаций и многое другое.</w:t>
      </w:r>
    </w:p>
    <w:p w14:paraId="7EE4841D" w14:textId="77777777" w:rsidR="00711AE8" w:rsidRPr="00493E76" w:rsidRDefault="00711AE8" w:rsidP="00BF117F">
      <w:pPr>
        <w:pStyle w:val="ab"/>
        <w:rPr>
          <w:rFonts w:ascii="Arial" w:eastAsia="Arial" w:hAnsi="Arial" w:cs="Arial"/>
          <w:color w:val="000000"/>
          <w:sz w:val="20"/>
          <w:szCs w:val="20"/>
        </w:rPr>
      </w:pPr>
    </w:p>
    <w:p w14:paraId="3259BCC7" w14:textId="77777777" w:rsidR="00711AE8" w:rsidRPr="00493E76" w:rsidRDefault="00711AE8" w:rsidP="00711AE8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sz w:val="20"/>
          <w:szCs w:val="20"/>
        </w:rPr>
        <w:t xml:space="preserve">Т1 </w:t>
      </w:r>
      <w:proofErr w:type="spellStart"/>
      <w:r w:rsidRPr="00493E76">
        <w:rPr>
          <w:rFonts w:ascii="Arial" w:eastAsia="Arial" w:hAnsi="Arial" w:cs="Arial"/>
          <w:b/>
          <w:sz w:val="20"/>
          <w:szCs w:val="20"/>
        </w:rPr>
        <w:t>Сервионика</w:t>
      </w:r>
      <w:proofErr w:type="spellEnd"/>
      <w:r w:rsidRPr="00493E76">
        <w:rPr>
          <w:rFonts w:ascii="Arial" w:eastAsia="Arial" w:hAnsi="Arial" w:cs="Arial"/>
          <w:sz w:val="20"/>
          <w:szCs w:val="20"/>
        </w:rPr>
        <w:t xml:space="preserve"> — ведущий российский провайдер полного спектра услуг в области ИТ-инфраструктуры и облачных вычислений для клиентов малого, среднего и крупного бизнеса, холдинговых структур и госсектора. В штате компании более 2000 инженеров, работающих на территории РФ. Региональная сеть аутсорсера включает более 65 обособленных подразделений, 350 + партнерских организаций, 80+ региональных складов и ЗИП, 276 точек присутствия инженеров. В структуре компании создан центр </w:t>
      </w:r>
      <w:r w:rsidRPr="00493E76">
        <w:rPr>
          <w:rFonts w:ascii="Arial" w:eastAsia="Arial" w:hAnsi="Arial" w:cs="Arial"/>
          <w:sz w:val="20"/>
          <w:szCs w:val="20"/>
        </w:rPr>
        <w:lastRenderedPageBreak/>
        <w:t>компетенций, а также круглосуточная служба поддержки, осуществляющая прием, регистрацию обращений и первичную поддержку в режиме 24/7. Проектный портфель компании состоит из более чем 700 контрактов в государственном и финансовом секторах, ритейле, телекоме, производственных компаниях, транспорте и логистике.</w:t>
      </w:r>
    </w:p>
    <w:p w14:paraId="52CEA656" w14:textId="61B7A5C3" w:rsidR="00A962E9" w:rsidRPr="00493E76" w:rsidRDefault="00FE01AA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Т1 </w:t>
      </w:r>
      <w:proofErr w:type="spellStart"/>
      <w:r w:rsidR="0048373B" w:rsidRPr="00493E76">
        <w:rPr>
          <w:rFonts w:ascii="Arial" w:eastAsia="Arial" w:hAnsi="Arial" w:cs="Arial"/>
          <w:b/>
          <w:color w:val="000000"/>
          <w:sz w:val="20"/>
          <w:szCs w:val="20"/>
        </w:rPr>
        <w:t>Иннотех</w:t>
      </w:r>
      <w:proofErr w:type="spellEnd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 xml:space="preserve"> (Т1 </w:t>
      </w:r>
      <w:proofErr w:type="spellStart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>Иннотех</w:t>
      </w:r>
      <w:proofErr w:type="spellEnd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>Мультикарта</w:t>
      </w:r>
      <w:proofErr w:type="spellEnd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 xml:space="preserve">) — это современная высокотехнологичная быстроразвивающаяся компания, создающая инновационные решения для цифровизации банковской отрасли и бизнеса. В продуктовом портфеле Т1 </w:t>
      </w:r>
      <w:proofErr w:type="spellStart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>Иннотех</w:t>
      </w:r>
      <w:proofErr w:type="spellEnd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 xml:space="preserve"> — создание современных высоконагруженных фронтальных систем, </w:t>
      </w:r>
      <w:proofErr w:type="spellStart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>омниканальных</w:t>
      </w:r>
      <w:proofErr w:type="spellEnd"/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 xml:space="preserve"> продуктов и высоконадежных платформ для поддержки банковского бизнеса. Для создания новых и совершенствования существующих мобильных решений используются современные технологии разработки программного обеспечения, доказавшие свою безопасность и эффективность. </w:t>
      </w:r>
    </w:p>
    <w:p w14:paraId="374573C6" w14:textId="77777777" w:rsidR="00A962E9" w:rsidRPr="00493E76" w:rsidRDefault="00A962E9" w:rsidP="00794FE1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CB5C62" w14:textId="000EC18D" w:rsidR="00356176" w:rsidRPr="00493E76" w:rsidRDefault="0048373B" w:rsidP="00794FE1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b/>
          <w:sz w:val="20"/>
          <w:szCs w:val="20"/>
        </w:rPr>
        <w:t>Мультикарта</w:t>
      </w:r>
      <w:r w:rsidRPr="00493E76">
        <w:rPr>
          <w:rFonts w:ascii="Arial" w:eastAsia="Arial" w:hAnsi="Arial" w:cs="Arial"/>
          <w:sz w:val="20"/>
          <w:szCs w:val="20"/>
        </w:rPr>
        <w:t xml:space="preserve"> — подразделение, обладающее экспертизой по технологиям электронных переводов денежных средств от покупателя продавцу. Мультикарта оказывает поддержку эмиссионных и эквайринговых программ для банка, управление сетями банкоматов и платёжных терминалов, сервисное обслуживание эквайрингового оборудования.</w:t>
      </w:r>
    </w:p>
    <w:p w14:paraId="0251DEF8" w14:textId="77777777" w:rsidR="00A962E9" w:rsidRPr="00493E76" w:rsidRDefault="00A962E9" w:rsidP="00794FE1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D901D8" w14:textId="587E0300" w:rsidR="00A962E9" w:rsidRPr="00493E76" w:rsidRDefault="0048373B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 xml:space="preserve">Направление Т1 </w:t>
      </w:r>
      <w:r w:rsidR="00CA5214" w:rsidRPr="00493E76">
        <w:rPr>
          <w:rFonts w:ascii="Arial" w:eastAsia="Arial" w:hAnsi="Arial" w:cs="Arial"/>
          <w:b/>
          <w:color w:val="000000"/>
          <w:sz w:val="20"/>
          <w:szCs w:val="20"/>
        </w:rPr>
        <w:t>Искусственный интеллект</w:t>
      </w:r>
      <w:r w:rsidR="00CA5214" w:rsidRPr="00493E76">
        <w:rPr>
          <w:rFonts w:ascii="Arial" w:eastAsia="Arial" w:hAnsi="Arial" w:cs="Arial"/>
          <w:color w:val="000000"/>
          <w:sz w:val="20"/>
          <w:szCs w:val="20"/>
        </w:rPr>
        <w:t xml:space="preserve"> (ИИ)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консолидировало экспертизу 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>х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олдинга в работе с большими данными, в разработке платформ хранения информации, а также в построении аналитических и рекомендательных систем для крупного бизнеса. В продуктовое портфолио Т1 ИИ входит более 15 решений, которые успешно используются в компаниях разного профиля и госструктурах, в том числе системы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видеоаналитики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и распознавания документов, модули BI-отчетности, цифровые ассистенты. Продукты и услуги Т1 ИИ направлены на реализацию задач цифровой трансформации в компаниях и организациях </w:t>
      </w:r>
      <w:r w:rsidR="00CA5214" w:rsidRPr="00493E76">
        <w:rPr>
          <w:rFonts w:ascii="Arial" w:eastAsia="Arial" w:hAnsi="Arial" w:cs="Arial"/>
          <w:color w:val="000000"/>
          <w:sz w:val="20"/>
          <w:szCs w:val="20"/>
        </w:rPr>
        <w:t xml:space="preserve">с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>целью автоматизации внутренних и внешних бизнес-процессов, улучшения взаимодействия между подразделениями, повышения эффективности сервисов для клиентов и увеличения прибыли компаний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545FF72" w14:textId="77777777" w:rsidR="00711AE8" w:rsidRPr="00493E76" w:rsidRDefault="00711AE8" w:rsidP="00BF117F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BE4D82" w14:textId="77777777" w:rsidR="00A962E9" w:rsidRPr="00493E76" w:rsidRDefault="0019247F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«Радиоэлектроника» —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>бизнес-направление по проектированию, производству и поставке гражданских беспилотных летательных аппаратов (БПЛА) и предоставление коммерческих сервисов на основе БПЛА.</w:t>
      </w:r>
      <w:r w:rsidR="00CA5214" w:rsidRPr="00493E7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A7CA438" w14:textId="77777777" w:rsidR="00A962E9" w:rsidRPr="00493E76" w:rsidRDefault="00A962E9" w:rsidP="00794FE1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D14532" w14:textId="2969C7A1" w:rsidR="00A962E9" w:rsidRPr="00493E76" w:rsidRDefault="00E175A4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А</w:t>
      </w:r>
      <w:r w:rsidR="0048373B"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налитическое агентство</w:t>
      </w: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Холдинга Т1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48373B" w:rsidRPr="00493E76">
        <w:rPr>
          <w:rFonts w:ascii="Arial" w:eastAsia="Arial" w:hAnsi="Arial" w:cs="Arial"/>
          <w:color w:val="000000"/>
          <w:sz w:val="20"/>
          <w:szCs w:val="20"/>
        </w:rPr>
        <w:t>проводящее отраслевые и специфические исследования цифровой индустрии.</w:t>
      </w:r>
    </w:p>
    <w:p w14:paraId="02585347" w14:textId="77777777" w:rsidR="00A962E9" w:rsidRPr="00493E76" w:rsidRDefault="00A962E9" w:rsidP="00794FE1">
      <w:pPr>
        <w:pStyle w:val="ab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F597E37" w14:textId="4DEC0E8C" w:rsidR="00A962E9" w:rsidRPr="00493E76" w:rsidRDefault="00980503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Т1 Цифровая Академия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— провайдер кастомизированных продуктов и сервисов, образовательный партнёр на рынке корпоративного обучения в ИТ-отрасли. Компания работает на стыке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EdTech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HRTech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и ИТ-консалтинга, объединяет цифровые компетенции Холдинга Т1, лучшие мировые практики и собственные разработки в сфере работы с талантами и предлагает заказчикам индивидуальные решения бизнес-задач. Миссия Т1 Цифровой Академии — помогать российским компаниям двигаться вперед за счёт повышения цифровых компетенций персонала. Цифровая Академия предлагает партнерам как разработку индивидуальных сервисных решений под задачи бизнеса, так и готовые базовые курсы, которые могут быть быстро доработаны и полностью адаптированы под цели заказчика. Индивидуальные сервисные решения Цифровой Академии отличает комплексный взгляд на корпоративное обучение, выраженный в концепции раскрытия талантов — гибком и адаптивном подходе к образованию сотрудников. Подробнее: academy.t1.ru</w:t>
      </w:r>
      <w:r w:rsidR="00A962E9" w:rsidRPr="00493E76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74BAFBC" w14:textId="77777777" w:rsidR="00A962E9" w:rsidRPr="00493E76" w:rsidRDefault="00A962E9" w:rsidP="00794FE1">
      <w:pPr>
        <w:pStyle w:val="ab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7ABC673D" w14:textId="77777777" w:rsidR="00A962E9" w:rsidRPr="00493E76" w:rsidRDefault="00980503" w:rsidP="00794FE1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HR</w:t>
      </w: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направление Холдинга Т1</w:t>
      </w:r>
    </w:p>
    <w:p w14:paraId="28D19522" w14:textId="77777777" w:rsidR="00A962E9" w:rsidRPr="00493E76" w:rsidRDefault="00A962E9" w:rsidP="00794FE1">
      <w:pPr>
        <w:pStyle w:val="ab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9B1CC9" w14:textId="59144C35" w:rsidR="00980503" w:rsidRPr="00493E76" w:rsidRDefault="00980503" w:rsidP="00794FE1">
      <w:pPr>
        <w:pStyle w:val="ab"/>
        <w:pBdr>
          <w:top w:val="nil"/>
          <w:left w:val="nil"/>
          <w:bottom w:val="nil"/>
          <w:right w:val="nil"/>
          <w:between w:val="nil"/>
        </w:pBdr>
        <w:spacing w:after="200"/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HR-направление Холдинга Т1 демонстрирует экспертизу по найму, удержанию и развитию сотрудников холдинга. Компания инвестирует в развитие ИТ-кадров, внедряет практики наставничества, способствует формированию комфортной среды, где виден вклад конкретного разработчика в продукты компании и отрасль в целом.</w:t>
      </w:r>
      <w:r w:rsidR="007D01C7" w:rsidRPr="00493E76">
        <w:rPr>
          <w:rFonts w:ascii="Arial" w:eastAsia="Arial" w:hAnsi="Arial" w:cs="Arial"/>
          <w:color w:val="000000"/>
          <w:sz w:val="20"/>
          <w:szCs w:val="20"/>
        </w:rPr>
        <w:t xml:space="preserve"> В </w:t>
      </w:r>
      <w:r w:rsidR="007D01C7" w:rsidRPr="00493E76">
        <w:rPr>
          <w:rFonts w:ascii="Arial" w:eastAsia="Arial" w:hAnsi="Arial" w:cs="Arial"/>
          <w:color w:val="000000"/>
          <w:sz w:val="20"/>
          <w:szCs w:val="20"/>
          <w:lang w:val="en-US"/>
        </w:rPr>
        <w:t>HR</w:t>
      </w:r>
      <w:r w:rsidR="007D01C7" w:rsidRPr="00493E76">
        <w:rPr>
          <w:rFonts w:ascii="Arial" w:eastAsia="Arial" w:hAnsi="Arial" w:cs="Arial"/>
          <w:color w:val="000000"/>
          <w:sz w:val="20"/>
          <w:szCs w:val="20"/>
        </w:rPr>
        <w:t>-направление входят такие проекты, как:</w:t>
      </w:r>
    </w:p>
    <w:p w14:paraId="08DBA7CA" w14:textId="77777777" w:rsidR="007D01C7" w:rsidRPr="00493E76" w:rsidRDefault="007D01C7" w:rsidP="00794FE1">
      <w:pPr>
        <w:pBdr>
          <w:top w:val="nil"/>
          <w:left w:val="nil"/>
          <w:bottom w:val="nil"/>
          <w:right w:val="nil"/>
          <w:between w:val="nil"/>
        </w:pBdr>
        <w:spacing w:after="200"/>
        <w:ind w:left="709"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Т</w:t>
      </w:r>
      <w:proofErr w:type="gramStart"/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1.Дебют</w:t>
      </w:r>
      <w:proofErr w:type="gram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— направление по работе с начинающими специалистами: студентами, выпускниками и специалистами с опытом работы до года. Объединяет стажировки, ИТ-лагерь Т1 и Открытые школы.</w:t>
      </w:r>
    </w:p>
    <w:p w14:paraId="0648F938" w14:textId="77777777" w:rsidR="007D01C7" w:rsidRPr="00493E76" w:rsidRDefault="007D01C7" w:rsidP="00794FE1">
      <w:pPr>
        <w:pBdr>
          <w:top w:val="nil"/>
          <w:left w:val="nil"/>
          <w:bottom w:val="nil"/>
          <w:right w:val="nil"/>
          <w:between w:val="nil"/>
        </w:pBdr>
        <w:spacing w:after="200"/>
        <w:ind w:left="709"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Стажировка Т</w:t>
      </w:r>
      <w:proofErr w:type="gramStart"/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1.Дебют</w:t>
      </w:r>
      <w:proofErr w:type="gram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— практика для студентов и выпускников без опыта. В течение 3 месяцев участники работают над реальными кейсами под руководством наставников, с возможностью выбрать и перемещаться между разными направлениями разработки. </w:t>
      </w:r>
    </w:p>
    <w:p w14:paraId="62AA4159" w14:textId="77777777" w:rsidR="007D01C7" w:rsidRPr="00493E76" w:rsidRDefault="007D01C7" w:rsidP="00794FE1">
      <w:pPr>
        <w:pBdr>
          <w:top w:val="nil"/>
          <w:left w:val="nil"/>
          <w:bottom w:val="nil"/>
          <w:right w:val="nil"/>
          <w:between w:val="nil"/>
        </w:pBdr>
        <w:spacing w:after="200"/>
        <w:ind w:left="709"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ИТ-лагерь Т1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— это образовательный интенсив для студентов и выпускников в гибридном формате: месяц онлайн-обучения и неделя очного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буткемпа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7D5D2B" w14:textId="60150829" w:rsidR="00980503" w:rsidRPr="00493E76" w:rsidRDefault="007D01C7" w:rsidP="00794FE1">
      <w:pPr>
        <w:pBdr>
          <w:top w:val="nil"/>
          <w:left w:val="nil"/>
          <w:bottom w:val="nil"/>
          <w:right w:val="nil"/>
          <w:between w:val="nil"/>
        </w:pBdr>
        <w:spacing w:after="200"/>
        <w:ind w:left="709"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Открытые школы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— программа найма для ИТ-специалистов с опытом работы от года, включает ИТ-интенсив, обучение на реальных задачах, поддержку наставников и HR-службы, и трудоустройство по итогам прохождения.</w:t>
      </w:r>
    </w:p>
    <w:p w14:paraId="260F18D8" w14:textId="77777777" w:rsidR="00BF117F" w:rsidRPr="00493E76" w:rsidRDefault="00BF117F" w:rsidP="00BF117F">
      <w:p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1568F5" w14:textId="20BA4416" w:rsidR="00356176" w:rsidRPr="00493E76" w:rsidRDefault="003F17D6" w:rsidP="00BF117F">
      <w:pPr>
        <w:pStyle w:val="ab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КЛЮЧЕВЫЕ СПИКЕРЫ ХОЛДИНГА Т1</w:t>
      </w:r>
    </w:p>
    <w:p w14:paraId="1E683A59" w14:textId="77777777" w:rsidR="00356176" w:rsidRPr="00493E76" w:rsidRDefault="00356176" w:rsidP="00794FE1">
      <w:pPr>
        <w:pBdr>
          <w:top w:val="nil"/>
          <w:left w:val="nil"/>
          <w:bottom w:val="nil"/>
          <w:right w:val="nil"/>
          <w:between w:val="nil"/>
        </w:pBdr>
        <w:ind w:left="426"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F933CC7" w14:textId="77777777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ind w:left="426" w:right="-138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493E76">
        <w:rPr>
          <w:rFonts w:ascii="Arial" w:eastAsia="Arial" w:hAnsi="Arial" w:cs="Arial"/>
          <w:b/>
          <w:bCs/>
          <w:color w:val="000000"/>
          <w:sz w:val="20"/>
          <w:szCs w:val="20"/>
        </w:rPr>
        <w:t>Приоритет 1 (уровень CEO, CEO -1):</w:t>
      </w:r>
    </w:p>
    <w:p w14:paraId="620E39E3" w14:textId="77777777" w:rsidR="003F17D6" w:rsidRPr="00493E76" w:rsidRDefault="003F17D6" w:rsidP="00794FE1">
      <w:pPr>
        <w:pBdr>
          <w:top w:val="nil"/>
          <w:left w:val="nil"/>
          <w:bottom w:val="nil"/>
          <w:right w:val="nil"/>
          <w:between w:val="nil"/>
        </w:pBdr>
        <w:ind w:left="426" w:right="-138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6E8F6CF7" w14:textId="0D29DDA6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Алексей Фетисов, генеральный директор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 xml:space="preserve"> Холдинга Т1</w:t>
      </w:r>
    </w:p>
    <w:p w14:paraId="0F54354C" w14:textId="72D9D581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Дмитрий Харитонов, первый заместитель генерального директора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 xml:space="preserve"> Холдинга Т1</w:t>
      </w:r>
    </w:p>
    <w:p w14:paraId="2C8D57F0" w14:textId="0917C32F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Кирилл Булгаков, заместитель генерального директора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 xml:space="preserve"> Холдинга Т1</w:t>
      </w:r>
      <w:r w:rsidR="00904C7B" w:rsidRPr="00493E7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91B4A" w:rsidRPr="00493E76">
        <w:rPr>
          <w:rFonts w:ascii="Arial" w:eastAsia="Arial" w:hAnsi="Arial" w:cs="Arial"/>
          <w:color w:val="000000"/>
          <w:sz w:val="20"/>
          <w:szCs w:val="20"/>
        </w:rPr>
        <w:t>по продуктам и сервисам,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управляющий директор вендора НОТА</w:t>
      </w:r>
    </w:p>
    <w:p w14:paraId="457355EC" w14:textId="2BD1AD6D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Екатерина Колесникова, заместитель генерального директора Холдинга Т1 по персоналу</w:t>
      </w:r>
    </w:p>
    <w:p w14:paraId="74B4205D" w14:textId="1884F384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Сергей Голицын, руководитель Т1 ИИ</w:t>
      </w:r>
      <w:r w:rsidRPr="00493E76">
        <w:rPr>
          <w:rFonts w:ascii="Arial" w:eastAsia="Arial" w:hAnsi="Arial" w:cs="Arial"/>
          <w:color w:val="4D5156"/>
          <w:sz w:val="20"/>
          <w:szCs w:val="20"/>
        </w:rPr>
        <w:t> </w:t>
      </w:r>
    </w:p>
    <w:p w14:paraId="3D4A83A0" w14:textId="219A76B0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Тимур Аляутдинов, операционный директор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 xml:space="preserve"> Холдинга Т1</w:t>
      </w:r>
    </w:p>
    <w:p w14:paraId="6EA86411" w14:textId="754D6474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Михаил Книгин, исполнительный директор</w:t>
      </w:r>
      <w:r w:rsidR="006902DB" w:rsidRPr="00493E7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71862">
        <w:rPr>
          <w:rFonts w:ascii="Arial" w:eastAsia="Arial" w:hAnsi="Arial" w:cs="Arial"/>
          <w:color w:val="000000"/>
          <w:sz w:val="20"/>
          <w:szCs w:val="20"/>
        </w:rPr>
        <w:t xml:space="preserve">Т1 Интеграция </w:t>
      </w:r>
    </w:p>
    <w:p w14:paraId="4D13E34D" w14:textId="678E20B1" w:rsidR="00356176" w:rsidRPr="00493E76" w:rsidRDefault="0048373B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Андрей Гулидин, заместитель генерального директора, директор по развитию бизнеса Т1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Иннотех</w:t>
      </w:r>
      <w:proofErr w:type="spellEnd"/>
    </w:p>
    <w:p w14:paraId="27DD4D76" w14:textId="0696B2AE" w:rsidR="00C2503A" w:rsidRPr="00493E76" w:rsidRDefault="00C2503A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Дмитрий Красовский, </w:t>
      </w:r>
      <w:r w:rsidR="00980503" w:rsidRPr="00493E76">
        <w:rPr>
          <w:rFonts w:ascii="Arial" w:eastAsia="Arial" w:hAnsi="Arial" w:cs="Arial"/>
          <w:color w:val="000000"/>
          <w:sz w:val="20"/>
          <w:szCs w:val="20"/>
        </w:rPr>
        <w:t>директор Т1 Цифровой Академии</w:t>
      </w:r>
    </w:p>
    <w:p w14:paraId="3FE7B5AA" w14:textId="09B2DD45" w:rsidR="00980503" w:rsidRPr="00493E76" w:rsidRDefault="007D01C7" w:rsidP="003F17D6">
      <w:pPr>
        <w:pStyle w:val="ab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Константин Шадрин, директор Центра компетенций аэрокосмических технологий Холдинга Т1</w:t>
      </w:r>
    </w:p>
    <w:p w14:paraId="0F03D605" w14:textId="77777777" w:rsidR="00356176" w:rsidRPr="00493E76" w:rsidRDefault="00356176" w:rsidP="00794FE1">
      <w:pP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363783" w14:textId="77777777" w:rsidR="00356176" w:rsidRPr="00493E76" w:rsidRDefault="0048373B" w:rsidP="00794FE1">
      <w:pP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Полный перечень спикеров будет согласован после заключения договора по данному RFP.</w:t>
      </w:r>
    </w:p>
    <w:p w14:paraId="37FC712F" w14:textId="77777777" w:rsidR="00356176" w:rsidRPr="00493E76" w:rsidRDefault="00356176" w:rsidP="00794FE1">
      <w:pP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8EF4AF" w14:textId="352B3C9C" w:rsidR="00356176" w:rsidRPr="00493E76" w:rsidRDefault="003F17D6" w:rsidP="003F17D6">
      <w:pPr>
        <w:pStyle w:val="ab"/>
        <w:numPr>
          <w:ilvl w:val="0"/>
          <w:numId w:val="26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ТЕМЫ ХОЛДИНГА Т1</w:t>
      </w:r>
    </w:p>
    <w:p w14:paraId="094DCAE6" w14:textId="77777777" w:rsidR="00356176" w:rsidRPr="00493E76" w:rsidRDefault="00356176" w:rsidP="00794FE1">
      <w:pPr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7F6861" w14:textId="77777777" w:rsidR="003F17D6" w:rsidRPr="00493E76" w:rsidRDefault="0048373B" w:rsidP="003F17D6">
      <w:pP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Рынок ИТ, его события и тенденции, технологические тренды; цифровизация, цифровой консалтинг; облачные, сетевые технологии, 5G и другие стандарты; информационная безопасность, кибербезопасность,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кибераналитика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ЦОДы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инженерная инфраструктура, роботизация – RPA, вычислительное оборудование, системы хранения данных, виртуализация, технологические исследования, унифицированные коммуникации, контакт-центры, интеллектуальное управление данными, системы мониторинга и анализа бизнес-процессов, биометрия;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IoT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IIoT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Open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Source; взаимоотношения с российскими вендорами; глобальные тренды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финтеха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 и ИТ, цифровизация банкинга и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финтеха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цифровизация бизнеса, технологии в финансах и банкинге, цифровые валюты, криптовалюты, технологии в финансах и банкинге, информационная безопасность, видеосервисы, ИТ в промышленности, ИТ в сельском хозяйстве, искусственный интеллект, базы данных, озера данных, аналитика Big Data. Международное сотрудничество, экспорт ПО, государственная поддержка IT, законодательная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регуляторика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инструменты государственного влияния на развитие бизнеса: льготное кредитование, поддержка инновационных проектов, GR, новые форматы партнерства и взаимодействия бизнеса и государства, управление ключевыми проектами. HR-блок: современный рынок труда и прогнозы по его развитию, цифровые профессии, контроль за сотрудниками на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удаленке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, HR-тренды и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диджитализация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>, подбор, мотивация и адаптация персонала (в частности ИТ-специалистов), обучение, оценка и аттестация сотрудников, системы заработных плат, хэдхантинг, правила поддержания комфортной среды и благополучия персонала; HR-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tech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>; HR-сервисы; HR-менеджмент (управление системой найма и удержания ИТ-кадров, управление ресурсами, вовлечение и мотивация, геймификация, корпоративный HR-менеджмент); внутрикорпоративный PR, повышение лояльности сотрудников; региональные ИТ-кадры. Корпоративное управление. Управление бизнесом, бизнес-трансформация. Управление процессом продаж в крупном ИТ-бизнесе; выстраивание результативной системы продаж; новые инструменты и подходы. Гражданские беспилотники, дистанционное зондирование земли, БАС.</w:t>
      </w:r>
    </w:p>
    <w:p w14:paraId="0ECEE376" w14:textId="77777777" w:rsidR="003F17D6" w:rsidRPr="00493E76" w:rsidRDefault="003F17D6" w:rsidP="003F17D6">
      <w:pPr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6DDC5CAC" w14:textId="4478B3C2" w:rsidR="00356176" w:rsidRPr="00493E76" w:rsidRDefault="0048373B" w:rsidP="003F17D6">
      <w:pPr>
        <w:pStyle w:val="ab"/>
        <w:numPr>
          <w:ilvl w:val="0"/>
          <w:numId w:val="26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 xml:space="preserve">Описание целей, задач, ключевых моментов закупки </w:t>
      </w:r>
    </w:p>
    <w:p w14:paraId="39DC1564" w14:textId="5CB714CE" w:rsidR="00356176" w:rsidRPr="00493E76" w:rsidRDefault="0048373B" w:rsidP="00794FE1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Для каких целей производится закупка-выбор агентства: Обеспечение коммуникационного сопровождения деятельности Холдинга Т1 и его отдельных </w:t>
      </w:r>
      <w:r w:rsidR="00904C7B" w:rsidRPr="00493E76">
        <w:rPr>
          <w:rFonts w:ascii="Arial" w:eastAsia="Arial" w:hAnsi="Arial" w:cs="Arial"/>
          <w:color w:val="000000"/>
          <w:sz w:val="20"/>
          <w:szCs w:val="20"/>
        </w:rPr>
        <w:t>бизнес-направлений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/проектов/брендов в СМИ с учетом долгосрочных и краткосрочных стратегических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целеи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>̆ и отдельных проектов.</w:t>
      </w:r>
    </w:p>
    <w:p w14:paraId="7C9539C1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Выстраивание позитивного и технологичного бренда холдинга</w:t>
      </w:r>
      <w:r w:rsidRPr="00493E76">
        <w:rPr>
          <w:rFonts w:ascii="Arial" w:eastAsia="Arial" w:hAnsi="Arial" w:cs="Arial"/>
          <w:sz w:val="20"/>
          <w:szCs w:val="20"/>
        </w:rPr>
        <w:t>;</w:t>
      </w:r>
    </w:p>
    <w:p w14:paraId="03D58F1D" w14:textId="6D05F9F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Продвижение бренда и повышение осведомленности целевых аудиторий о холдинге</w:t>
      </w:r>
      <w:r w:rsidR="00E175A4" w:rsidRPr="00493E7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и проектах как об одном из ключевых лидеров отрасли; </w:t>
      </w:r>
    </w:p>
    <w:p w14:paraId="32DFF186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Продвижение HR-бренда холдинга;</w:t>
      </w:r>
    </w:p>
    <w:p w14:paraId="54417F0A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Построение эффективного взаимодействия холдинга и его отдельных проектов с целевыми аудиториями и выстраивание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эффективнои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̆ системы управления </w:t>
      </w:r>
      <w:proofErr w:type="spellStart"/>
      <w:r w:rsidRPr="00493E76">
        <w:rPr>
          <w:rFonts w:ascii="Arial" w:eastAsia="Arial" w:hAnsi="Arial" w:cs="Arial"/>
          <w:color w:val="000000"/>
          <w:sz w:val="20"/>
          <w:szCs w:val="20"/>
        </w:rPr>
        <w:t>репутациеи</w:t>
      </w:r>
      <w:proofErr w:type="spellEnd"/>
      <w:r w:rsidRPr="00493E76">
        <w:rPr>
          <w:rFonts w:ascii="Arial" w:eastAsia="Arial" w:hAnsi="Arial" w:cs="Arial"/>
          <w:color w:val="000000"/>
          <w:sz w:val="20"/>
          <w:szCs w:val="20"/>
        </w:rPr>
        <w:t>̆ бренда;</w:t>
      </w:r>
    </w:p>
    <w:p w14:paraId="6FB388E8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lastRenderedPageBreak/>
        <w:t>Продвижение первых лиц и спикеров холдинга и его бизнес-направлений как инициаторов прорывных проектов для ускоренного технологического развития и экспертов в области ИТ-направлений, в которых они работают;</w:t>
      </w:r>
    </w:p>
    <w:p w14:paraId="55982A29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Стимулирование интереса к Холдингу Т1, его проектам, инициативам со стороны потенциальных клиентов и партнеров;</w:t>
      </w:r>
    </w:p>
    <w:p w14:paraId="499646BA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Поддержка при выводе новых направлений Холдинга Т1 в PR-поле;</w:t>
      </w:r>
    </w:p>
    <w:p w14:paraId="252433A0" w14:textId="77777777" w:rsidR="00356176" w:rsidRPr="00493E76" w:rsidRDefault="0048373B" w:rsidP="003F17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Увеличение качественных и количественных показателей присутствия Холдинга Т1 и его отдельных кластеров, проектов и продуктов в публичном пространстве.</w:t>
      </w:r>
    </w:p>
    <w:p w14:paraId="78DD43BC" w14:textId="77777777" w:rsidR="00356176" w:rsidRPr="00493E76" w:rsidRDefault="00356176" w:rsidP="00794FE1">
      <w:pP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5B7C6F7E" w14:textId="689FF435" w:rsidR="00356176" w:rsidRPr="00493E76" w:rsidRDefault="0048373B" w:rsidP="003F17D6">
      <w:pPr>
        <w:pStyle w:val="ab"/>
        <w:numPr>
          <w:ilvl w:val="0"/>
          <w:numId w:val="26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sz w:val="20"/>
          <w:szCs w:val="20"/>
        </w:rPr>
        <w:t xml:space="preserve">Целевая аудитория: </w:t>
      </w:r>
    </w:p>
    <w:p w14:paraId="6592CD8F" w14:textId="77777777" w:rsidR="003F17D6" w:rsidRPr="00493E76" w:rsidRDefault="003F17D6" w:rsidP="003F17D6">
      <w:pPr>
        <w:pStyle w:val="ab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CE19B4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Отрасль</w:t>
      </w:r>
    </w:p>
    <w:p w14:paraId="30BCDB91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Власть и госструктуры</w:t>
      </w:r>
    </w:p>
    <w:p w14:paraId="584026F6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Потенциальные клиенты – крупные заказчики из госсектора и бизнеса, заинтересованных в поставках комплексных ИТ-решений </w:t>
      </w:r>
    </w:p>
    <w:p w14:paraId="30238AAD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 xml:space="preserve">Текущие клиенты </w:t>
      </w:r>
    </w:p>
    <w:p w14:paraId="5E8BEA7C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Партнеры</w:t>
      </w:r>
    </w:p>
    <w:p w14:paraId="38AF7682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СМИ</w:t>
      </w:r>
    </w:p>
    <w:p w14:paraId="3E621C70" w14:textId="77777777" w:rsidR="00356176" w:rsidRPr="00493E76" w:rsidRDefault="0048373B" w:rsidP="003F17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93E76">
        <w:rPr>
          <w:rFonts w:ascii="Arial" w:eastAsia="Arial" w:hAnsi="Arial" w:cs="Arial"/>
          <w:color w:val="000000"/>
          <w:sz w:val="20"/>
          <w:szCs w:val="20"/>
        </w:rPr>
        <w:t>Бывшие, текущие и потенциальные сотрудники</w:t>
      </w:r>
    </w:p>
    <w:p w14:paraId="54E9CBE7" w14:textId="77777777" w:rsidR="00356176" w:rsidRPr="00493E76" w:rsidRDefault="00356176" w:rsidP="00794FE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60"/>
        <w:ind w:left="426" w:righ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F9E5B2" w14:textId="16688819" w:rsidR="00885F27" w:rsidRPr="00493E76" w:rsidRDefault="0048373B" w:rsidP="003F17D6">
      <w:pPr>
        <w:pStyle w:val="ab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60"/>
        <w:ind w:righ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93E76">
        <w:rPr>
          <w:rFonts w:ascii="Arial" w:eastAsia="Arial" w:hAnsi="Arial" w:cs="Arial"/>
          <w:b/>
          <w:color w:val="000000"/>
          <w:sz w:val="20"/>
          <w:szCs w:val="20"/>
        </w:rPr>
        <w:t>Требования к поставщику</w:t>
      </w:r>
    </w:p>
    <w:tbl>
      <w:tblPr>
        <w:tblStyle w:val="aa"/>
        <w:tblW w:w="96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8780"/>
      </w:tblGrid>
      <w:tr w:rsidR="00885F27" w:rsidRPr="00493E76" w14:paraId="6E422642" w14:textId="77777777" w:rsidTr="00147928">
        <w:trPr>
          <w:trHeight w:val="397"/>
        </w:trPr>
        <w:tc>
          <w:tcPr>
            <w:tcW w:w="865" w:type="dxa"/>
            <w:tcBorders>
              <w:bottom w:val="single" w:sz="12" w:space="0" w:color="1F497D" w:themeColor="text2"/>
            </w:tcBorders>
            <w:vAlign w:val="center"/>
          </w:tcPr>
          <w:p w14:paraId="41EDC524" w14:textId="77777777" w:rsidR="00885F27" w:rsidRPr="00493E76" w:rsidRDefault="00885F27" w:rsidP="00794FE1">
            <w:pPr>
              <w:spacing w:after="60"/>
              <w:ind w:left="426" w:right="-105"/>
              <w:jc w:val="both"/>
              <w:rPr>
                <w:rFonts w:ascii="Arial" w:eastAsia="Arial" w:hAnsi="Arial" w:cs="Arial"/>
                <w:b/>
                <w:color w:val="0038FF"/>
              </w:rPr>
            </w:pPr>
            <w:r w:rsidRPr="00493E76">
              <w:rPr>
                <w:rFonts w:ascii="Arial" w:eastAsia="Arial" w:hAnsi="Arial" w:cs="Arial"/>
                <w:b/>
                <w:color w:val="0038FF"/>
              </w:rPr>
              <w:t>№</w:t>
            </w:r>
          </w:p>
        </w:tc>
        <w:tc>
          <w:tcPr>
            <w:tcW w:w="8780" w:type="dxa"/>
            <w:tcBorders>
              <w:bottom w:val="single" w:sz="12" w:space="0" w:color="1F497D" w:themeColor="text2"/>
            </w:tcBorders>
            <w:vAlign w:val="center"/>
          </w:tcPr>
          <w:p w14:paraId="59B0C9FF" w14:textId="77777777" w:rsidR="00885F27" w:rsidRPr="00493E76" w:rsidRDefault="00885F27" w:rsidP="00794FE1">
            <w:pPr>
              <w:spacing w:after="60"/>
              <w:ind w:left="426" w:right="-105"/>
              <w:jc w:val="both"/>
              <w:rPr>
                <w:rFonts w:ascii="Arial" w:eastAsia="Arial" w:hAnsi="Arial" w:cs="Arial"/>
                <w:b/>
                <w:color w:val="0038FF"/>
              </w:rPr>
            </w:pPr>
            <w:r w:rsidRPr="00493E76">
              <w:rPr>
                <w:rFonts w:ascii="Arial" w:eastAsia="Arial" w:hAnsi="Arial" w:cs="Arial"/>
                <w:b/>
                <w:color w:val="0038FF"/>
              </w:rPr>
              <w:t>Требования к участникам тендера и предмету закупки</w:t>
            </w:r>
          </w:p>
        </w:tc>
      </w:tr>
      <w:tr w:rsidR="00885F27" w:rsidRPr="00493E76" w14:paraId="59950470" w14:textId="77777777" w:rsidTr="00147928">
        <w:trPr>
          <w:trHeight w:val="397"/>
        </w:trPr>
        <w:tc>
          <w:tcPr>
            <w:tcW w:w="865" w:type="dxa"/>
            <w:tcBorders>
              <w:top w:val="single" w:sz="12" w:space="0" w:color="1F497D" w:themeColor="text2"/>
              <w:bottom w:val="single" w:sz="6" w:space="0" w:color="C6D9F1" w:themeColor="text2" w:themeTint="33"/>
            </w:tcBorders>
            <w:vAlign w:val="center"/>
          </w:tcPr>
          <w:p w14:paraId="7AC29E05" w14:textId="08FB2B13" w:rsidR="00885F27" w:rsidRPr="00493E76" w:rsidRDefault="00885F27" w:rsidP="00BF117F">
            <w:pPr>
              <w:pStyle w:val="Inn"/>
              <w:numPr>
                <w:ilvl w:val="0"/>
                <w:numId w:val="25"/>
              </w:numPr>
              <w:spacing w:line="240" w:lineRule="auto"/>
              <w:ind w:right="5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780" w:type="dxa"/>
            <w:tcBorders>
              <w:top w:val="single" w:sz="12" w:space="0" w:color="1F497D" w:themeColor="text2"/>
              <w:bottom w:val="single" w:sz="6" w:space="0" w:color="C6D9F1" w:themeColor="text2" w:themeTint="33"/>
            </w:tcBorders>
            <w:vAlign w:val="center"/>
          </w:tcPr>
          <w:p w14:paraId="17352353" w14:textId="77777777" w:rsidR="00885F27" w:rsidRPr="00493E76" w:rsidRDefault="00885F27" w:rsidP="0079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 w:right="-105"/>
              <w:jc w:val="both"/>
              <w:rPr>
                <w:rFonts w:ascii="Arial" w:eastAsia="Arial" w:hAnsi="Arial" w:cs="Arial"/>
                <w:color w:val="030125"/>
              </w:rPr>
            </w:pPr>
            <w:r w:rsidRPr="00493E76">
              <w:rPr>
                <w:rFonts w:ascii="Arial" w:eastAsia="Arial" w:hAnsi="Arial" w:cs="Arial"/>
                <w:color w:val="030125"/>
              </w:rPr>
              <w:t>Участники тендера должны иметь подтвержденный опыт работы с крупными многопрофильными IT-компаниями и аналогичными задачами. Опыт подтверждается в презентации-портфолио, содержащем следующую информацию:</w:t>
            </w:r>
          </w:p>
          <w:p w14:paraId="6C98E437" w14:textId="77777777" w:rsidR="00885F27" w:rsidRPr="00493E76" w:rsidRDefault="00885F27" w:rsidP="0079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 w:right="-105"/>
              <w:jc w:val="both"/>
              <w:rPr>
                <w:rFonts w:ascii="Arial" w:eastAsia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- информацию о компании с примерами работ в ИТ-отрасли и аналогичными задачами за последние 3 года с указанием заказчика, года реализации проекта, объема работ, результатами достижения KPI, релевантными фото и ссылками с материалами проектов;</w:t>
            </w:r>
          </w:p>
          <w:p w14:paraId="4078139B" w14:textId="77777777" w:rsidR="00885F27" w:rsidRPr="00493E76" w:rsidRDefault="00885F27" w:rsidP="00794FE1">
            <w:pPr>
              <w:pStyle w:val="Inn"/>
              <w:numPr>
                <w:ilvl w:val="0"/>
                <w:numId w:val="0"/>
              </w:numPr>
              <w:spacing w:line="240" w:lineRule="auto"/>
              <w:ind w:left="426" w:right="50"/>
              <w:jc w:val="both"/>
              <w:rPr>
                <w:rFonts w:ascii="Arial" w:hAnsi="Arial"/>
                <w:color w:val="000000" w:themeColor="text1"/>
              </w:rPr>
            </w:pPr>
            <w:r w:rsidRPr="00493E76">
              <w:rPr>
                <w:rFonts w:ascii="Arial" w:eastAsia="Arial" w:hAnsi="Arial"/>
                <w:color w:val="000000"/>
              </w:rPr>
              <w:t>- готовность</w:t>
            </w:r>
            <w:r w:rsidRPr="00493E76">
              <w:rPr>
                <w:rFonts w:ascii="Arial" w:eastAsia="Arial" w:hAnsi="Arial"/>
                <w:color w:val="030125"/>
              </w:rPr>
              <w:t xml:space="preserve"> предоставить контакты заказчиков для рекомендаций по релевантным проектам, реализованным в течение последних 3 лет.</w:t>
            </w:r>
          </w:p>
        </w:tc>
      </w:tr>
      <w:tr w:rsidR="00885F27" w:rsidRPr="00493E76" w14:paraId="2014C796" w14:textId="77777777" w:rsidTr="00147928">
        <w:trPr>
          <w:trHeight w:val="397"/>
        </w:trPr>
        <w:tc>
          <w:tcPr>
            <w:tcW w:w="865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vAlign w:val="center"/>
          </w:tcPr>
          <w:p w14:paraId="44D82271" w14:textId="32281C70" w:rsidR="00885F27" w:rsidRPr="00493E76" w:rsidRDefault="00885F27" w:rsidP="00BF117F">
            <w:pPr>
              <w:pStyle w:val="Inn"/>
              <w:numPr>
                <w:ilvl w:val="0"/>
                <w:numId w:val="25"/>
              </w:numPr>
              <w:spacing w:line="240" w:lineRule="auto"/>
              <w:ind w:right="5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780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shd w:val="clear" w:color="auto" w:fill="auto"/>
            <w:vAlign w:val="center"/>
          </w:tcPr>
          <w:p w14:paraId="32AE1627" w14:textId="77777777" w:rsidR="00885F27" w:rsidRPr="00493E76" w:rsidRDefault="00885F27" w:rsidP="00794FE1">
            <w:pPr>
              <w:ind w:left="426" w:right="50"/>
              <w:jc w:val="both"/>
              <w:rPr>
                <w:rFonts w:ascii="Arial" w:hAnsi="Arial" w:cs="Arial"/>
              </w:rPr>
            </w:pPr>
          </w:p>
          <w:p w14:paraId="5B94AC7C" w14:textId="77777777" w:rsidR="00885F27" w:rsidRPr="00493E76" w:rsidRDefault="00885F27" w:rsidP="00794FE1">
            <w:pPr>
              <w:ind w:left="426"/>
              <w:jc w:val="both"/>
              <w:rPr>
                <w:rFonts w:ascii="Arial" w:eastAsia="Arial" w:hAnsi="Arial" w:cs="Arial"/>
              </w:rPr>
            </w:pPr>
            <w:r w:rsidRPr="00493E76">
              <w:rPr>
                <w:rFonts w:ascii="Arial" w:eastAsia="Arial" w:hAnsi="Arial" w:cs="Arial"/>
              </w:rPr>
              <w:t xml:space="preserve">Собственный штат сотрудников включает руководителей проектов, менеджеров проектов, копирайтеров, PR-ассистентов и др. специалистов для выполнения поставленных целей. </w:t>
            </w:r>
          </w:p>
          <w:p w14:paraId="71A9F479" w14:textId="5C69C472" w:rsidR="00885F27" w:rsidRPr="00493E76" w:rsidRDefault="00885F27" w:rsidP="00794FE1">
            <w:pPr>
              <w:ind w:left="426" w:right="50"/>
              <w:jc w:val="both"/>
              <w:rPr>
                <w:rFonts w:ascii="Arial" w:eastAsia="Arial" w:hAnsi="Arial" w:cs="Arial"/>
              </w:rPr>
            </w:pPr>
            <w:r w:rsidRPr="00493E76">
              <w:rPr>
                <w:rFonts w:ascii="Arial" w:eastAsia="Arial" w:hAnsi="Arial" w:cs="Arial"/>
              </w:rPr>
              <w:t xml:space="preserve">Участники тендера должны предоставить описание состава проектной команды для реализации задач по данному RFP с приложением резюме специалистов участника тендера, которых планируется привлекать к исполнению Договора, содержащих их ФИО, информацию об образовании, опыте работы, успешно реализованных </w:t>
            </w:r>
            <w:r w:rsidR="00E44576" w:rsidRPr="00493E76">
              <w:rPr>
                <w:rFonts w:ascii="Arial" w:eastAsia="Arial" w:hAnsi="Arial" w:cs="Arial"/>
              </w:rPr>
              <w:t>PR</w:t>
            </w:r>
            <w:r w:rsidRPr="00493E76">
              <w:rPr>
                <w:rFonts w:ascii="Arial" w:eastAsia="Arial" w:hAnsi="Arial" w:cs="Arial"/>
              </w:rPr>
              <w:t>-проектах и роли в команде.</w:t>
            </w:r>
          </w:p>
        </w:tc>
      </w:tr>
      <w:tr w:rsidR="00885F27" w:rsidRPr="00493E76" w14:paraId="0C66EA0A" w14:textId="77777777" w:rsidTr="00147928">
        <w:trPr>
          <w:trHeight w:val="397"/>
        </w:trPr>
        <w:tc>
          <w:tcPr>
            <w:tcW w:w="865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vAlign w:val="center"/>
          </w:tcPr>
          <w:p w14:paraId="58398242" w14:textId="47D7BF2B" w:rsidR="00885F27" w:rsidRPr="00493E76" w:rsidRDefault="00885F27" w:rsidP="00BF117F">
            <w:pPr>
              <w:pStyle w:val="Inn"/>
              <w:numPr>
                <w:ilvl w:val="0"/>
                <w:numId w:val="25"/>
              </w:numPr>
              <w:spacing w:line="240" w:lineRule="auto"/>
              <w:ind w:right="5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780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shd w:val="clear" w:color="auto" w:fill="auto"/>
            <w:vAlign w:val="center"/>
          </w:tcPr>
          <w:p w14:paraId="314703BB" w14:textId="60A221D4" w:rsidR="00885F27" w:rsidRPr="00493E76" w:rsidRDefault="00885F27" w:rsidP="00794FE1">
            <w:pPr>
              <w:ind w:left="426" w:right="5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  <w:color w:val="000000" w:themeColor="text1"/>
              </w:rPr>
              <w:t>Прохождение тестового задания по брифу Заказчика</w:t>
            </w:r>
            <w:r w:rsidR="00E44576" w:rsidRPr="00493E7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85F27" w:rsidRPr="00493E76" w14:paraId="017F7B00" w14:textId="77777777" w:rsidTr="00147928">
        <w:trPr>
          <w:trHeight w:val="397"/>
        </w:trPr>
        <w:tc>
          <w:tcPr>
            <w:tcW w:w="865" w:type="dxa"/>
            <w:tcBorders>
              <w:top w:val="single" w:sz="6" w:space="0" w:color="C6D9F1" w:themeColor="text2" w:themeTint="33"/>
            </w:tcBorders>
            <w:vAlign w:val="center"/>
          </w:tcPr>
          <w:p w14:paraId="632D3196" w14:textId="3ACD9D3A" w:rsidR="00885F27" w:rsidRPr="00493E76" w:rsidRDefault="00885F27" w:rsidP="00BF117F">
            <w:pPr>
              <w:pStyle w:val="Inn"/>
              <w:numPr>
                <w:ilvl w:val="0"/>
                <w:numId w:val="25"/>
              </w:numPr>
              <w:spacing w:line="240" w:lineRule="auto"/>
              <w:ind w:right="5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780" w:type="dxa"/>
            <w:tcBorders>
              <w:top w:val="single" w:sz="6" w:space="0" w:color="C6D9F1" w:themeColor="text2" w:themeTint="33"/>
            </w:tcBorders>
            <w:shd w:val="clear" w:color="auto" w:fill="auto"/>
            <w:vAlign w:val="center"/>
          </w:tcPr>
          <w:p w14:paraId="57D42AEC" w14:textId="77777777" w:rsidR="00885F27" w:rsidRPr="00493E76" w:rsidRDefault="00885F27" w:rsidP="00794FE1">
            <w:pPr>
              <w:pStyle w:val="Inn"/>
              <w:numPr>
                <w:ilvl w:val="0"/>
                <w:numId w:val="0"/>
              </w:numPr>
              <w:spacing w:line="240" w:lineRule="auto"/>
              <w:ind w:left="426" w:right="50"/>
              <w:jc w:val="both"/>
              <w:rPr>
                <w:rFonts w:ascii="Arial" w:hAnsi="Arial"/>
                <w:color w:val="000000" w:themeColor="text1"/>
              </w:rPr>
            </w:pPr>
            <w:r w:rsidRPr="00493E76">
              <w:rPr>
                <w:rFonts w:ascii="Arial" w:eastAsia="Arial" w:hAnsi="Arial"/>
                <w:color w:val="030125"/>
              </w:rPr>
              <w:t xml:space="preserve">При невыполнении KPI, прописанных в условиях </w:t>
            </w:r>
            <w:proofErr w:type="spellStart"/>
            <w:r w:rsidRPr="00493E76">
              <w:rPr>
                <w:rFonts w:ascii="Arial" w:eastAsia="Arial" w:hAnsi="Arial"/>
                <w:color w:val="030125"/>
              </w:rPr>
              <w:t>ретейнера</w:t>
            </w:r>
            <w:proofErr w:type="spellEnd"/>
            <w:r w:rsidRPr="00493E76">
              <w:rPr>
                <w:rFonts w:ascii="Arial" w:eastAsia="Arial" w:hAnsi="Arial"/>
                <w:color w:val="030125"/>
              </w:rPr>
              <w:t>, в течение трех месяцев Заказчик оставляет за собой право одностороннего расторжения договора.</w:t>
            </w:r>
          </w:p>
        </w:tc>
      </w:tr>
    </w:tbl>
    <w:p w14:paraId="4C6E5BFC" w14:textId="77777777" w:rsidR="00E44576" w:rsidRPr="00493E76" w:rsidRDefault="00E44576" w:rsidP="00794FE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60"/>
        <w:ind w:left="426" w:righ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pPr w:leftFromText="180" w:rightFromText="180" w:vertAnchor="text" w:tblpX="284" w:tblpY="1"/>
        <w:tblW w:w="10064" w:type="dxa"/>
        <w:tblInd w:w="0" w:type="dxa"/>
        <w:tblBorders>
          <w:top w:val="nil"/>
          <w:left w:val="nil"/>
          <w:bottom w:val="nil"/>
          <w:right w:val="nil"/>
          <w:insideH w:val="single" w:sz="6" w:space="0" w:color="CCD7F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079"/>
      </w:tblGrid>
      <w:tr w:rsidR="00356176" w:rsidRPr="00493E76" w14:paraId="21EDAE58" w14:textId="77777777" w:rsidTr="0076197D">
        <w:trPr>
          <w:trHeight w:val="1077"/>
        </w:trPr>
        <w:tc>
          <w:tcPr>
            <w:tcW w:w="1985" w:type="dxa"/>
            <w:vAlign w:val="center"/>
          </w:tcPr>
          <w:p w14:paraId="01FD95C7" w14:textId="7635D215" w:rsidR="00356176" w:rsidRPr="00493E76" w:rsidRDefault="0048373B" w:rsidP="003F17D6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t>Цель проведения RFP (запроса предложения)</w:t>
            </w:r>
          </w:p>
        </w:tc>
        <w:tc>
          <w:tcPr>
            <w:tcW w:w="8079" w:type="dxa"/>
            <w:vAlign w:val="center"/>
          </w:tcPr>
          <w:p w14:paraId="78679468" w14:textId="40CBC004" w:rsidR="00356176" w:rsidRPr="00493E76" w:rsidRDefault="0048373B" w:rsidP="00794FE1">
            <w:p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Заключение контракта, сроком на 24 месяца, с агентством, готовым обеспечить предоставление указанного объема услуг с наивысшим качеством за приемлемый бюджет</w:t>
            </w:r>
            <w:r w:rsidR="00E44576" w:rsidRPr="00493E76">
              <w:rPr>
                <w:rFonts w:ascii="Arial" w:hAnsi="Arial" w:cs="Arial"/>
              </w:rPr>
              <w:t>.</w:t>
            </w:r>
          </w:p>
          <w:p w14:paraId="38B564ED" w14:textId="77777777" w:rsidR="00356176" w:rsidRPr="00493E76" w:rsidRDefault="00356176" w:rsidP="00794FE1">
            <w:pPr>
              <w:ind w:left="426"/>
              <w:jc w:val="both"/>
              <w:rPr>
                <w:rFonts w:ascii="Arial" w:eastAsia="Arial" w:hAnsi="Arial" w:cs="Arial"/>
                <w:color w:val="8496B0"/>
              </w:rPr>
            </w:pPr>
          </w:p>
        </w:tc>
      </w:tr>
      <w:tr w:rsidR="00371862" w:rsidRPr="00493E76" w14:paraId="38BD310F" w14:textId="77777777" w:rsidTr="0076197D">
        <w:trPr>
          <w:trHeight w:val="127"/>
        </w:trPr>
        <w:tc>
          <w:tcPr>
            <w:tcW w:w="1985" w:type="dxa"/>
            <w:vAlign w:val="center"/>
          </w:tcPr>
          <w:p w14:paraId="36461C11" w14:textId="6094B46A" w:rsidR="00371862" w:rsidRPr="00493E76" w:rsidRDefault="00371862" w:rsidP="00371862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t>Предмет закупки</w:t>
            </w:r>
          </w:p>
        </w:tc>
        <w:tc>
          <w:tcPr>
            <w:tcW w:w="8079" w:type="dxa"/>
            <w:vAlign w:val="center"/>
          </w:tcPr>
          <w:p w14:paraId="1FC5DB27" w14:textId="77777777" w:rsidR="00371862" w:rsidRPr="00493E76" w:rsidRDefault="00371862" w:rsidP="00371862">
            <w:pPr>
              <w:jc w:val="both"/>
              <w:rPr>
                <w:rFonts w:ascii="Arial" w:hAnsi="Arial" w:cs="Arial"/>
                <w:b/>
                <w:bCs/>
              </w:rPr>
            </w:pPr>
            <w:r w:rsidRPr="00493E76">
              <w:rPr>
                <w:rFonts w:ascii="Arial" w:hAnsi="Arial" w:cs="Arial"/>
                <w:b/>
                <w:bCs/>
              </w:rPr>
              <w:t xml:space="preserve">Разовые услуги, которые не входят в абонентское обслуживание, включающие предварительную или аналитическую работу агентства под задачи Заказчика. Услуги оцениваются дополнительно, исходя из прайса в приложении: </w:t>
            </w:r>
          </w:p>
          <w:p w14:paraId="04751E18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  <w:p w14:paraId="1C1037AB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Разработка/корректировка коммуникационной стратегии холдинга с учетом всех объектов продвижения; документ должен быть построен на основе стратегии холдинга, бренд-стратегии и позиционирования, с учетом аналитики текущего представления Холдинга Т1 и входящих в него бизнес-</w:t>
            </w:r>
            <w:r w:rsidRPr="00493E76">
              <w:rPr>
                <w:rFonts w:ascii="Arial" w:hAnsi="Arial" w:cs="Arial"/>
              </w:rPr>
              <w:lastRenderedPageBreak/>
              <w:t xml:space="preserve">единиц в </w:t>
            </w:r>
            <w:proofErr w:type="spellStart"/>
            <w:r w:rsidRPr="00493E76">
              <w:rPr>
                <w:rFonts w:ascii="Arial" w:hAnsi="Arial" w:cs="Arial"/>
              </w:rPr>
              <w:t>инфополе</w:t>
            </w:r>
            <w:proofErr w:type="spellEnd"/>
            <w:r w:rsidRPr="00493E76">
              <w:rPr>
                <w:rFonts w:ascii="Arial" w:hAnsi="Arial" w:cs="Arial"/>
              </w:rPr>
              <w:t xml:space="preserve">, медиа-анализа конкурентов, ключевых сообщений, целевых аудиторий и прочих важных критериев, которые ложатся в основу расширенной коммуникационной стратегии – </w:t>
            </w:r>
            <w:r w:rsidRPr="00493E76">
              <w:rPr>
                <w:rFonts w:ascii="Arial" w:hAnsi="Arial" w:cs="Arial"/>
                <w:b/>
                <w:bCs/>
              </w:rPr>
              <w:t>1 раз в год.</w:t>
            </w:r>
          </w:p>
          <w:p w14:paraId="35345065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Разработка детального PR-плана (тематический план материалов с указанием медиа, форматов материалов, включая коммерческие и редакционные размещения) Холдинга Т1 и его направлений (объектов продвижения) в рамках общей коммуникационной стратегии и стратегической цели бизнеса Заказчика в начале второго отчетного месяца и системная актуализация по запросу Заказчика с целью адаптации под рыночные/негативные/объективные изменения медиа активности. План выполняется с использованием шаблона от Заказчика – </w:t>
            </w:r>
            <w:r w:rsidRPr="00493E76">
              <w:rPr>
                <w:rFonts w:ascii="Arial" w:hAnsi="Arial" w:cs="Arial"/>
                <w:b/>
                <w:bCs/>
              </w:rPr>
              <w:t>1 раз в год.</w:t>
            </w:r>
          </w:p>
          <w:p w14:paraId="32FD1227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DB7B99">
              <w:rPr>
                <w:rFonts w:ascii="Arial" w:hAnsi="Arial" w:cs="Arial"/>
              </w:rPr>
              <w:t>Подготовка и актуализация</w:t>
            </w:r>
            <w:r w:rsidRPr="00493E76">
              <w:rPr>
                <w:rFonts w:ascii="Arial" w:hAnsi="Arial" w:cs="Arial"/>
              </w:rPr>
              <w:t xml:space="preserve"> под запрос Заказчика ключевых коммуникационных документов </w:t>
            </w:r>
            <w:r w:rsidRPr="00493E76">
              <w:rPr>
                <w:rFonts w:ascii="Arial" w:hAnsi="Arial" w:cs="Arial"/>
                <w:b/>
                <w:bCs/>
              </w:rPr>
              <w:t>– 2 раза в год:</w:t>
            </w:r>
          </w:p>
          <w:p w14:paraId="31AE2561" w14:textId="77777777" w:rsidR="00371862" w:rsidRPr="00493E76" w:rsidRDefault="00371862" w:rsidP="00371862">
            <w:pPr>
              <w:pStyle w:val="ab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информационных справок о компаниях, бизнес-направлениях и проектах Заказчика;</w:t>
            </w:r>
          </w:p>
          <w:p w14:paraId="00DCD176" w14:textId="77777777" w:rsidR="00371862" w:rsidRPr="00493E76" w:rsidRDefault="00371862" w:rsidP="00371862">
            <w:pPr>
              <w:pStyle w:val="ab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деловых досье спикеров и справок о проектах, компаниях и бизнес-направлениях Заказчика;</w:t>
            </w:r>
          </w:p>
          <w:p w14:paraId="325C3977" w14:textId="77777777" w:rsidR="00371862" w:rsidRPr="00493E76" w:rsidRDefault="00371862" w:rsidP="00371862">
            <w:pPr>
              <w:pStyle w:val="ab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Q&amp;A холдинга и его бизнес-направлений/объектов PR-продвижения;</w:t>
            </w:r>
          </w:p>
          <w:p w14:paraId="17155A68" w14:textId="77777777" w:rsidR="00371862" w:rsidRPr="00493E76" w:rsidRDefault="00371862" w:rsidP="00371862">
            <w:pPr>
              <w:pStyle w:val="ab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пресс-кита холдинга и его бизнес-направлений.</w:t>
            </w:r>
          </w:p>
          <w:p w14:paraId="293A1466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E01AA">
              <w:rPr>
                <w:rFonts w:ascii="Arial" w:hAnsi="Arial" w:cs="Arial"/>
              </w:rPr>
              <w:t>Стратегическое консалтинговое сопровождение Заказчика по вопросам оптимальных форматов, содержания и подходов к медиа-коммуникации Заказчика в согласованных</w:t>
            </w:r>
            <w:r w:rsidRPr="00493E76">
              <w:rPr>
                <w:rFonts w:ascii="Arial" w:hAnsi="Arial" w:cs="Arial"/>
              </w:rPr>
              <w:t xml:space="preserve"> с Заказчиком форматах. Например, антикризисные коммуникации, вывод на рынок нового бренда, запуск проекта. Стратегический консалтинг подразумевает: анализ информационного поля, разработку идеи PR-позиционирования и продвижения бренда/проекта, SWOT-анализ, учет коммуникационных рисков, рекомендации.</w:t>
            </w:r>
          </w:p>
          <w:p w14:paraId="342D4943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FE01AA">
              <w:rPr>
                <w:rFonts w:ascii="Arial" w:hAnsi="Arial" w:cs="Arial"/>
              </w:rPr>
              <w:t>Составление списка релевантных премий и рейтингов для участия Заказчика, а</w:t>
            </w:r>
            <w:r w:rsidRPr="00493E76">
              <w:rPr>
                <w:rFonts w:ascii="Arial" w:hAnsi="Arial" w:cs="Arial"/>
              </w:rPr>
              <w:t xml:space="preserve"> также реализованных проектов. В услугу входит консультирование Заказчика по вопросам составления заявок. Обновления списка премий и рейтингов </w:t>
            </w:r>
            <w:r w:rsidRPr="00493E76">
              <w:rPr>
                <w:rFonts w:ascii="Arial" w:hAnsi="Arial" w:cs="Arial"/>
                <w:b/>
                <w:bCs/>
              </w:rPr>
              <w:t xml:space="preserve">(не менее 4 раз в год). </w:t>
            </w:r>
          </w:p>
          <w:p w14:paraId="48605403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Коммуникационная поддержка и менеджмент PR-сопровождения участия Заказчика и его бизнес-направлений в масштабных мероприятиях </w:t>
            </w:r>
            <w:r w:rsidRPr="00493E76">
              <w:rPr>
                <w:rFonts w:ascii="Arial" w:hAnsi="Arial" w:cs="Arial"/>
                <w:b/>
                <w:bCs/>
              </w:rPr>
              <w:t xml:space="preserve">(ЦИПР, ПМЭФ, </w:t>
            </w:r>
            <w:proofErr w:type="spellStart"/>
            <w:r w:rsidRPr="00493E76">
              <w:rPr>
                <w:rFonts w:ascii="Arial" w:hAnsi="Arial" w:cs="Arial"/>
                <w:b/>
                <w:bCs/>
              </w:rPr>
              <w:t>Финополис</w:t>
            </w:r>
            <w:proofErr w:type="spellEnd"/>
            <w:r w:rsidRPr="00493E76">
              <w:rPr>
                <w:rFonts w:ascii="Arial" w:hAnsi="Arial" w:cs="Arial"/>
                <w:b/>
                <w:bCs/>
              </w:rPr>
              <w:t xml:space="preserve">, Банковский конгресс и </w:t>
            </w:r>
            <w:proofErr w:type="spellStart"/>
            <w:r w:rsidRPr="00493E76">
              <w:rPr>
                <w:rFonts w:ascii="Arial" w:hAnsi="Arial" w:cs="Arial"/>
                <w:b/>
                <w:bCs/>
              </w:rPr>
              <w:t>тп</w:t>
            </w:r>
            <w:proofErr w:type="spellEnd"/>
            <w:r w:rsidRPr="00493E76">
              <w:rPr>
                <w:rFonts w:ascii="Arial" w:hAnsi="Arial" w:cs="Arial"/>
                <w:b/>
                <w:bCs/>
              </w:rPr>
              <w:t>):</w:t>
            </w:r>
          </w:p>
          <w:p w14:paraId="3283CFEB" w14:textId="77777777" w:rsidR="00371862" w:rsidRPr="00493E76" w:rsidRDefault="00371862" w:rsidP="00371862">
            <w:pPr>
              <w:pStyle w:val="ab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разработка коммуникационного плана, согласование с Заказчиком, менеджмент процесса выпуска гарантированных коммерческих публикаций – </w:t>
            </w:r>
            <w:r w:rsidRPr="00493E76">
              <w:rPr>
                <w:rFonts w:ascii="Arial" w:hAnsi="Arial" w:cs="Arial"/>
                <w:b/>
                <w:bCs/>
              </w:rPr>
              <w:t>не более 10 публикаций в зависимости от тематики и масштаба мероприятия;</w:t>
            </w:r>
          </w:p>
          <w:p w14:paraId="05CC3DD8" w14:textId="77777777" w:rsidR="00371862" w:rsidRPr="00493E76" w:rsidRDefault="00371862" w:rsidP="00371862">
            <w:pPr>
              <w:pStyle w:val="ab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формирование информационной повестки Заказчика для участия в мероприятиях с учетом тематики форумов, формирование инфоповодов и питчей СМИ, предложение тем и спикеров редакциям и журналистам, инициирование встреч спикеров с редакциями и журналистами на площадке мероприятий, организация выхода редакционных публикаций по итогам участия Заказчика в мероприятиях.</w:t>
            </w:r>
          </w:p>
          <w:p w14:paraId="076D4849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Подготовка тезисов, Q&amp;A и др. текстового контента для участия Заказчика в деловых мероприятиях и публичных выступлений, интервью и других форматов публичных коммуникаций спикеров Заказчика на мероприятиях.</w:t>
            </w:r>
          </w:p>
          <w:p w14:paraId="067AD092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Привлечение сторонних экспертов (спикеров, модераторов, партнеров) с целью реализации проектов в рамках данного RFP.</w:t>
            </w:r>
          </w:p>
          <w:p w14:paraId="30A01F6C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Прове</w:t>
            </w:r>
            <w:r w:rsidRPr="0076197D">
              <w:rPr>
                <w:rFonts w:ascii="Arial" w:hAnsi="Arial" w:cs="Arial"/>
              </w:rPr>
              <w:t>дение</w:t>
            </w:r>
            <w:r w:rsidRPr="00493E76">
              <w:rPr>
                <w:rFonts w:ascii="Arial" w:hAnsi="Arial" w:cs="Arial"/>
              </w:rPr>
              <w:t xml:space="preserve"> оплаты третьим лицам (целевым СМИ, организаторам мероприятий и т.д.) с целью реализации проектов в рамках данного RFP.</w:t>
            </w:r>
          </w:p>
          <w:p w14:paraId="09E2366C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Планирование и организация медиа-тренингов для спикеров по запросу Заказчика.</w:t>
            </w:r>
          </w:p>
          <w:p w14:paraId="464E8BF3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Организация фото- и/или видеосъемки пресс-мероприятий Заказчика, предоставление тизеров с оперативно обработанными фото/видеоматериалами в день съемки и полный фотоотчет в течение одного рабочего дня.</w:t>
            </w:r>
          </w:p>
          <w:p w14:paraId="4E5BC464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Расшифровка аудио- и </w:t>
            </w:r>
            <w:proofErr w:type="spellStart"/>
            <w:r w:rsidRPr="00493E76">
              <w:rPr>
                <w:rFonts w:ascii="Arial" w:hAnsi="Arial" w:cs="Arial"/>
              </w:rPr>
              <w:t>видеозаписеи</w:t>
            </w:r>
            <w:proofErr w:type="spellEnd"/>
            <w:r w:rsidRPr="00493E76">
              <w:rPr>
                <w:rFonts w:ascii="Arial" w:hAnsi="Arial" w:cs="Arial"/>
              </w:rPr>
              <w:t xml:space="preserve">̆ по запросу Заказчика. </w:t>
            </w:r>
          </w:p>
          <w:p w14:paraId="318A055F" w14:textId="77777777" w:rsidR="00371862" w:rsidRPr="00493E76" w:rsidRDefault="00371862" w:rsidP="00371862">
            <w:pPr>
              <w:pStyle w:val="a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Перевод текстов на </w:t>
            </w:r>
            <w:proofErr w:type="spellStart"/>
            <w:r w:rsidRPr="00493E76">
              <w:rPr>
                <w:rFonts w:ascii="Arial" w:hAnsi="Arial" w:cs="Arial"/>
              </w:rPr>
              <w:t>английскии</w:t>
            </w:r>
            <w:proofErr w:type="spellEnd"/>
            <w:r w:rsidRPr="00493E76">
              <w:rPr>
                <w:rFonts w:ascii="Arial" w:hAnsi="Arial" w:cs="Arial"/>
              </w:rPr>
              <w:t xml:space="preserve">̆ язык. Осуществляется по запросам Заказчика, отправленным на адрес </w:t>
            </w:r>
            <w:proofErr w:type="spellStart"/>
            <w:r w:rsidRPr="00493E76">
              <w:rPr>
                <w:rFonts w:ascii="Arial" w:hAnsi="Arial" w:cs="Arial"/>
              </w:rPr>
              <w:t>электроннои</w:t>
            </w:r>
            <w:proofErr w:type="spellEnd"/>
            <w:r w:rsidRPr="00493E76">
              <w:rPr>
                <w:rFonts w:ascii="Arial" w:hAnsi="Arial" w:cs="Arial"/>
              </w:rPr>
              <w:t>̆ почты Исполнителя.</w:t>
            </w:r>
          </w:p>
          <w:p w14:paraId="16FCED93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  <w:p w14:paraId="0032CEA3" w14:textId="77777777" w:rsidR="00371862" w:rsidRPr="00493E76" w:rsidRDefault="00371862" w:rsidP="00371862">
            <w:pPr>
              <w:jc w:val="both"/>
              <w:rPr>
                <w:rFonts w:ascii="Arial" w:hAnsi="Arial" w:cs="Arial"/>
                <w:b/>
                <w:bCs/>
              </w:rPr>
            </w:pPr>
            <w:r w:rsidRPr="00493E76">
              <w:rPr>
                <w:rFonts w:ascii="Arial" w:hAnsi="Arial" w:cs="Arial"/>
                <w:b/>
                <w:bCs/>
              </w:rPr>
              <w:t xml:space="preserve">         </w:t>
            </w:r>
          </w:p>
          <w:p w14:paraId="382DF977" w14:textId="77777777" w:rsidR="00371862" w:rsidRPr="00493E76" w:rsidRDefault="00371862" w:rsidP="00371862">
            <w:pPr>
              <w:jc w:val="both"/>
              <w:rPr>
                <w:rFonts w:ascii="Arial" w:hAnsi="Arial" w:cs="Arial"/>
                <w:b/>
                <w:bCs/>
              </w:rPr>
            </w:pPr>
            <w:r w:rsidRPr="00493E76">
              <w:rPr>
                <w:rFonts w:ascii="Arial" w:hAnsi="Arial" w:cs="Arial"/>
                <w:b/>
                <w:bCs/>
              </w:rPr>
              <w:lastRenderedPageBreak/>
              <w:t xml:space="preserve">Основные услуги </w:t>
            </w:r>
            <w:proofErr w:type="spellStart"/>
            <w:r w:rsidRPr="00493E76">
              <w:rPr>
                <w:rFonts w:ascii="Arial" w:hAnsi="Arial" w:cs="Arial"/>
                <w:b/>
                <w:bCs/>
              </w:rPr>
              <w:t>ретейнера</w:t>
            </w:r>
            <w:proofErr w:type="spellEnd"/>
            <w:r w:rsidRPr="00493E76">
              <w:rPr>
                <w:rFonts w:ascii="Arial" w:hAnsi="Arial" w:cs="Arial"/>
                <w:b/>
                <w:bCs/>
              </w:rPr>
              <w:t xml:space="preserve"> с ежемесячными KPI:</w:t>
            </w:r>
          </w:p>
          <w:p w14:paraId="56C81130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  <w:p w14:paraId="54484730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Работа с информационными поводами Заказчика </w:t>
            </w:r>
            <w:r w:rsidRPr="00493E76">
              <w:rPr>
                <w:rFonts w:ascii="Arial" w:hAnsi="Arial" w:cs="Arial"/>
                <w:b/>
                <w:bCs/>
              </w:rPr>
              <w:t>(до 15 пресс-релизов в месяц в зависимости от количества информационных поводов):</w:t>
            </w:r>
          </w:p>
          <w:p w14:paraId="73DFD3BA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сбор информации у Заказчика, формирование списка информационных поводов, выявление значимых и выбор формата отработки информационного повода в части представленности новости СМИ;</w:t>
            </w:r>
          </w:p>
          <w:p w14:paraId="6CCA77DC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написание текстов пресс-релизов;</w:t>
            </w:r>
          </w:p>
          <w:p w14:paraId="2E652557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предложение значимых инфоповодов редакциям, инициирование заметок в медиа по итогам значимых инфоповодов, коммуникация с редакцией, подача информации с учетом интересов Заказчика и с учетом формата издания;</w:t>
            </w:r>
          </w:p>
          <w:p w14:paraId="79563C2A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рассылка пресс-релизов по заранее согласованной с заказчиком базе СМИ (под запрос Заказчика);</w:t>
            </w:r>
          </w:p>
          <w:p w14:paraId="7C4F14FC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размещение новостей на интеграторах новостей, </w:t>
            </w:r>
            <w:proofErr w:type="spellStart"/>
            <w:r w:rsidRPr="00493E76">
              <w:rPr>
                <w:rFonts w:ascii="Arial" w:hAnsi="Arial" w:cs="Arial"/>
              </w:rPr>
              <w:t>релизоприемниках</w:t>
            </w:r>
            <w:proofErr w:type="spellEnd"/>
            <w:r w:rsidRPr="00493E76">
              <w:rPr>
                <w:rFonts w:ascii="Arial" w:hAnsi="Arial" w:cs="Arial"/>
              </w:rPr>
              <w:t>;</w:t>
            </w:r>
          </w:p>
          <w:p w14:paraId="00E4FFF6" w14:textId="77777777" w:rsidR="00371862" w:rsidRPr="00493E76" w:rsidRDefault="00371862" w:rsidP="00371862">
            <w:pPr>
              <w:pStyle w:val="ab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подготовка аналитики по итогам выхода новостей – выгрузка данных из системы мониторинга СМИ «</w:t>
            </w:r>
            <w:proofErr w:type="spellStart"/>
            <w:r w:rsidRPr="00493E76">
              <w:rPr>
                <w:rFonts w:ascii="Arial" w:hAnsi="Arial" w:cs="Arial"/>
              </w:rPr>
              <w:t>Медиалоги</w:t>
            </w:r>
            <w:r>
              <w:rPr>
                <w:rFonts w:ascii="Arial" w:hAnsi="Arial" w:cs="Arial"/>
              </w:rPr>
              <w:t>и</w:t>
            </w:r>
            <w:proofErr w:type="spellEnd"/>
            <w:r w:rsidRPr="00493E76">
              <w:rPr>
                <w:rFonts w:ascii="Arial" w:hAnsi="Arial" w:cs="Arial"/>
              </w:rPr>
              <w:t>», предоставление отчета с указанием МИ и количества сообщений по итогам дистрибьюции новостей Заказчика.</w:t>
            </w:r>
          </w:p>
          <w:p w14:paraId="6C3C2FF2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  <w:p w14:paraId="5C083DDE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Инициирование публикаций и подготовка текстовых материалов для обеспечения выхода материалов в СМИ различных форматов: статьи, экспертные колонки, обзоры, интервью, а также любые материалы, которые гарантируют выход редакционных публикаций </w:t>
            </w:r>
            <w:r w:rsidRPr="00493E76">
              <w:rPr>
                <w:rFonts w:ascii="Arial" w:hAnsi="Arial" w:cs="Arial"/>
                <w:b/>
                <w:bCs/>
              </w:rPr>
              <w:t>(не более 10 в мес.):</w:t>
            </w:r>
          </w:p>
          <w:p w14:paraId="433A42B1" w14:textId="77777777" w:rsidR="00371862" w:rsidRPr="00493E76" w:rsidRDefault="00371862" w:rsidP="00371862">
            <w:pPr>
              <w:pStyle w:val="ab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расширенных редакционных публикаций в целевых СМИ с упоминанием экспертизы и проектов Заказчика, бизнес-направлений, спикеров и отдельных, в том числе партнерских проектов от имени спикеров Заказчика или его партнеров/клиентов;</w:t>
            </w:r>
          </w:p>
          <w:p w14:paraId="2D1D605C" w14:textId="77777777" w:rsidR="00371862" w:rsidRPr="00493E76" w:rsidRDefault="00371862" w:rsidP="00371862">
            <w:pPr>
              <w:pStyle w:val="ab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под расширенными публикациями понимаются интервью, авторские колонки, статьи, обзоры, </w:t>
            </w:r>
            <w:proofErr w:type="spellStart"/>
            <w:r w:rsidRPr="00493E76">
              <w:rPr>
                <w:rFonts w:ascii="Arial" w:hAnsi="Arial" w:cs="Arial"/>
              </w:rPr>
              <w:t>ревью</w:t>
            </w:r>
            <w:proofErr w:type="spellEnd"/>
            <w:r w:rsidRPr="00493E76">
              <w:rPr>
                <w:rFonts w:ascii="Arial" w:hAnsi="Arial" w:cs="Arial"/>
              </w:rPr>
              <w:t xml:space="preserve">, репортажи. Публикации по итогам рассылки пресс-релизов и экспертные комментарии в данном пункте не учитываются. В услугу входят: разработка темы, расширенного плана материала, подбор площадки для размещения, </w:t>
            </w:r>
            <w:proofErr w:type="spellStart"/>
            <w:r w:rsidRPr="00493E76">
              <w:rPr>
                <w:rFonts w:ascii="Arial" w:hAnsi="Arial" w:cs="Arial"/>
              </w:rPr>
              <w:t>питчинг</w:t>
            </w:r>
            <w:proofErr w:type="spellEnd"/>
            <w:r w:rsidRPr="00493E76">
              <w:rPr>
                <w:rFonts w:ascii="Arial" w:hAnsi="Arial" w:cs="Arial"/>
              </w:rPr>
              <w:t xml:space="preserve"> и переговоры с редакциями, сбор фактуры, копирайтинг.</w:t>
            </w:r>
          </w:p>
          <w:p w14:paraId="5B067E04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  <w:p w14:paraId="231D3C11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93E76">
              <w:rPr>
                <w:rFonts w:ascii="Arial" w:hAnsi="Arial" w:cs="Arial"/>
              </w:rPr>
              <w:t xml:space="preserve">Инициирование и менеджмент коммерческих публикаций, включающий разработку креативных концепций коммуникационного проекта, планирование, менеджмент и реализацию специальных контентных проектов в СМИ по запросу Заказчика </w:t>
            </w:r>
            <w:r w:rsidRPr="00493E76">
              <w:rPr>
                <w:rFonts w:ascii="Arial" w:hAnsi="Arial" w:cs="Arial"/>
                <w:b/>
                <w:bCs/>
              </w:rPr>
              <w:t>(до 3 в месяц);</w:t>
            </w:r>
          </w:p>
          <w:p w14:paraId="33961F22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93E76">
              <w:rPr>
                <w:rFonts w:ascii="Arial" w:hAnsi="Arial" w:cs="Arial"/>
              </w:rPr>
              <w:t>Комментарийная</w:t>
            </w:r>
            <w:proofErr w:type="spellEnd"/>
            <w:r w:rsidRPr="00493E76">
              <w:rPr>
                <w:rFonts w:ascii="Arial" w:hAnsi="Arial" w:cs="Arial"/>
              </w:rPr>
              <w:t xml:space="preserve"> программа </w:t>
            </w:r>
            <w:r w:rsidRPr="00493E76">
              <w:rPr>
                <w:rFonts w:ascii="Arial" w:hAnsi="Arial" w:cs="Arial"/>
                <w:b/>
                <w:bCs/>
              </w:rPr>
              <w:t xml:space="preserve">(до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493E76">
              <w:rPr>
                <w:rFonts w:ascii="Arial" w:hAnsi="Arial" w:cs="Arial"/>
                <w:b/>
                <w:bCs/>
              </w:rPr>
              <w:t>0 комментариев в месяц):</w:t>
            </w:r>
            <w:r w:rsidRPr="00493E76">
              <w:rPr>
                <w:rFonts w:ascii="Arial" w:hAnsi="Arial" w:cs="Arial"/>
              </w:rPr>
              <w:t xml:space="preserve"> обеспечение выхода комментариев в СМИ от имени ключевых спикеров Заказчика, от имени отраслевых и узкоспециализированных спикеров, а также от имени партнеров и клиентов Заказчика (по запросу); отслеживание новостной повестки в рамках экспертизы холдинга и его бизнес-направлений, проектов, встраивание мнений спикеров холдинга в планирующиеся редакциями публикации; генерирование интереса журналистов и редакций к спикерам Заказчика, системное предложение тем и инфоповодов для комментирования. В число выполненных работ входят опубликованные комментарии в СМИ.</w:t>
            </w:r>
          </w:p>
          <w:p w14:paraId="213535B8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Инициирование и интеграция спикеров Заказчика в ТВ- и радиоэфиры, подкасты, включая подготовку тезисов, сбор фактуры со стороны Заказчика и из внешних источников, копирайт и редактуру текста речи спикера.  Перечень целевых площадок разрабатывается Подрядчиком в первом отчетном периоде, согласовывается с Заказчиком и актуализируется в течение всего срока оказания услуг </w:t>
            </w:r>
            <w:r w:rsidRPr="00493E76">
              <w:rPr>
                <w:rFonts w:ascii="Arial" w:hAnsi="Arial" w:cs="Arial"/>
                <w:b/>
                <w:bCs/>
              </w:rPr>
              <w:t>(не более 3 выходов в месяц).</w:t>
            </w:r>
          </w:p>
          <w:p w14:paraId="115A8992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Информационно-аналитические услуги по мониторингу СМИ – в рамках абонентского обслуживания (</w:t>
            </w:r>
            <w:proofErr w:type="spellStart"/>
            <w:r w:rsidRPr="00493E76">
              <w:rPr>
                <w:rFonts w:ascii="Arial" w:hAnsi="Arial" w:cs="Arial"/>
              </w:rPr>
              <w:t>ритейнера</w:t>
            </w:r>
            <w:proofErr w:type="spellEnd"/>
            <w:r w:rsidRPr="00493E76">
              <w:rPr>
                <w:rFonts w:ascii="Arial" w:hAnsi="Arial" w:cs="Arial"/>
              </w:rPr>
              <w:t>). Они включают:</w:t>
            </w:r>
          </w:p>
          <w:p w14:paraId="595C6294" w14:textId="77777777" w:rsidR="00371862" w:rsidRPr="00493E76" w:rsidRDefault="00371862" w:rsidP="00371862">
            <w:pPr>
              <w:pStyle w:val="ab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Подготовку отчетов по итогам проведенных мероприятий с результатами и ключевыми показателями активности компании Заказчика в информационном поле в формате, согласованном с Заказчиком.  </w:t>
            </w:r>
          </w:p>
          <w:p w14:paraId="483EBEFA" w14:textId="77777777" w:rsidR="00371862" w:rsidRPr="00493E76" w:rsidRDefault="00371862" w:rsidP="00371862">
            <w:pPr>
              <w:pStyle w:val="ab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 xml:space="preserve">Организацию ежедневного медиа-мониторинга, подготовку и рассылку результатов ежедневного мониторинга – информационной картины дня в </w:t>
            </w:r>
            <w:r w:rsidRPr="00493E76">
              <w:rPr>
                <w:rFonts w:ascii="Arial" w:hAnsi="Arial" w:cs="Arial"/>
              </w:rPr>
              <w:lastRenderedPageBreak/>
              <w:t xml:space="preserve">формате </w:t>
            </w:r>
            <w:proofErr w:type="spellStart"/>
            <w:r w:rsidRPr="00493E76">
              <w:rPr>
                <w:rFonts w:ascii="Arial" w:hAnsi="Arial" w:cs="Arial"/>
              </w:rPr>
              <w:t>email</w:t>
            </w:r>
            <w:proofErr w:type="spellEnd"/>
            <w:r w:rsidRPr="00493E76">
              <w:rPr>
                <w:rFonts w:ascii="Arial" w:hAnsi="Arial" w:cs="Arial"/>
              </w:rPr>
              <w:t xml:space="preserve">-отчета с главными релевантными новостными событиями рынка и инфоповодами Заказчика в шаблоне Заказчика: до 70 объектов, 30 спикеров и 50 контекстных запросов по тематике ИТ и продуктовым направлениям кластеров холдинга; время направления ежедневного медиа-мониторинга согласовывается Сторонами путем обмена электронными сообщениями; </w:t>
            </w:r>
          </w:p>
          <w:p w14:paraId="2A315649" w14:textId="77777777" w:rsidR="00371862" w:rsidRPr="00493E76" w:rsidRDefault="00371862" w:rsidP="00371862">
            <w:pPr>
              <w:pStyle w:val="ab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подготовку ежемесячных информационно-аналитических отчетов (медиа-мониторингов) согласно требованиям Заказчика. Предоставление ежемесячного медиа-мониторинга не позднее 16:00 третьего рабочего дня месяца, следующего за отчетным в формате, согласованном с Заказчиком;</w:t>
            </w:r>
          </w:p>
          <w:p w14:paraId="41C803B7" w14:textId="77777777" w:rsidR="00371862" w:rsidRDefault="00371862" w:rsidP="00371862">
            <w:pPr>
              <w:pStyle w:val="ab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подготовку итогового информационно-аналитического отчета с результатам</w:t>
            </w:r>
            <w:r>
              <w:rPr>
                <w:rFonts w:ascii="Arial" w:hAnsi="Arial" w:cs="Arial"/>
              </w:rPr>
              <w:t>и</w:t>
            </w:r>
            <w:r w:rsidRPr="00493E76">
              <w:rPr>
                <w:rFonts w:ascii="Arial" w:hAnsi="Arial" w:cs="Arial"/>
              </w:rPr>
              <w:t xml:space="preserve"> и ключевыми показателями активности компании Заказчика в информационном поле за год, а также по истечении срока договора за весь период оказания услуг в формате, согласованном с Заказчиком.</w:t>
            </w:r>
          </w:p>
          <w:p w14:paraId="31434B1D" w14:textId="77777777" w:rsidR="00371862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F0B12">
              <w:rPr>
                <w:rFonts w:ascii="Arial" w:hAnsi="Arial" w:cs="Arial"/>
              </w:rPr>
              <w:t>Обновление разработанных PR-планов в соответствие с актуальными вводными от Заказчика (</w:t>
            </w:r>
            <w:r>
              <w:rPr>
                <w:rFonts w:ascii="Arial" w:hAnsi="Arial" w:cs="Arial"/>
              </w:rPr>
              <w:t xml:space="preserve">до 12 </w:t>
            </w:r>
            <w:r w:rsidRPr="002F0B12">
              <w:rPr>
                <w:rFonts w:ascii="Arial" w:hAnsi="Arial" w:cs="Arial"/>
              </w:rPr>
              <w:t>раз в год)</w:t>
            </w:r>
            <w:r>
              <w:rPr>
                <w:rFonts w:ascii="Arial" w:hAnsi="Arial" w:cs="Arial"/>
              </w:rPr>
              <w:t>.</w:t>
            </w:r>
          </w:p>
          <w:p w14:paraId="7DA563E2" w14:textId="77777777" w:rsidR="00371862" w:rsidRPr="00493E76" w:rsidRDefault="00371862" w:rsidP="00371862">
            <w:pPr>
              <w:pStyle w:val="ab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43F21">
              <w:rPr>
                <w:rFonts w:ascii="Arial" w:hAnsi="Arial" w:cs="Arial"/>
              </w:rPr>
              <w:t>Создание контента, написание, редактура и корректура текстовых материалов для распространения в СМИ и для иных целей Заказчика (не включая пресс-релизы, тезисы, вопросы и ответы (Q&amp;A) и другие материалы, предусмотренные прочими пунктами Договора)</w:t>
            </w:r>
            <w:r>
              <w:rPr>
                <w:rFonts w:ascii="Arial" w:hAnsi="Arial" w:cs="Arial"/>
              </w:rPr>
              <w:t>.</w:t>
            </w:r>
          </w:p>
          <w:p w14:paraId="12ED680B" w14:textId="77777777" w:rsidR="00371862" w:rsidRPr="00493E76" w:rsidRDefault="00371862" w:rsidP="00371862">
            <w:pPr>
              <w:jc w:val="both"/>
              <w:rPr>
                <w:rFonts w:ascii="Arial" w:hAnsi="Arial" w:cs="Arial"/>
              </w:rPr>
            </w:pPr>
          </w:p>
        </w:tc>
      </w:tr>
      <w:tr w:rsidR="00356176" w:rsidRPr="00493E76" w14:paraId="46C69F78" w14:textId="77777777" w:rsidTr="0076197D">
        <w:trPr>
          <w:trHeight w:val="1845"/>
        </w:trPr>
        <w:tc>
          <w:tcPr>
            <w:tcW w:w="1985" w:type="dxa"/>
            <w:vAlign w:val="center"/>
          </w:tcPr>
          <w:p w14:paraId="4D0FD5BB" w14:textId="0DD4BA52" w:rsidR="00356176" w:rsidRPr="00493E76" w:rsidRDefault="0048373B" w:rsidP="00147928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lastRenderedPageBreak/>
              <w:t>Целевые СМИ</w:t>
            </w:r>
          </w:p>
        </w:tc>
        <w:tc>
          <w:tcPr>
            <w:tcW w:w="8079" w:type="dxa"/>
            <w:vAlign w:val="center"/>
          </w:tcPr>
          <w:p w14:paraId="73873322" w14:textId="77777777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Деловые СМИ (Tier-1, Tier-2);</w:t>
            </w:r>
          </w:p>
          <w:p w14:paraId="24C19524" w14:textId="25CBB292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 xml:space="preserve">Отраслевые и специализированные СМИ (ИТ, ИБ, Банки и Финансы, Big Data, </w:t>
            </w:r>
            <w:r w:rsidR="00164E9D" w:rsidRPr="00493E76">
              <w:rPr>
                <w:rFonts w:ascii="Arial" w:eastAsia="Arial" w:hAnsi="Arial" w:cs="Arial"/>
                <w:color w:val="000000"/>
                <w:lang w:val="en-US"/>
              </w:rPr>
              <w:t>HR</w:t>
            </w:r>
            <w:r w:rsidR="00164E9D" w:rsidRPr="00493E76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493E76">
              <w:rPr>
                <w:rFonts w:ascii="Arial" w:eastAsia="Arial" w:hAnsi="Arial" w:cs="Arial"/>
                <w:color w:val="000000"/>
              </w:rPr>
              <w:t>HR-Tech, сельскохозяйственные и другие, список согласуется с Заказчиком);</w:t>
            </w:r>
          </w:p>
          <w:p w14:paraId="31834E3C" w14:textId="77777777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Общественно-политические СМИ, включая ТВ и радио;</w:t>
            </w:r>
          </w:p>
          <w:p w14:paraId="155D2A91" w14:textId="77777777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СМИ инновационно-</w:t>
            </w:r>
            <w:proofErr w:type="spellStart"/>
            <w:r w:rsidRPr="00493E76">
              <w:rPr>
                <w:rFonts w:ascii="Arial" w:eastAsia="Arial" w:hAnsi="Arial" w:cs="Arial"/>
                <w:color w:val="000000"/>
              </w:rPr>
              <w:t>венчурнои</w:t>
            </w:r>
            <w:proofErr w:type="spellEnd"/>
            <w:r w:rsidRPr="00493E76">
              <w:rPr>
                <w:rFonts w:ascii="Arial" w:eastAsia="Arial" w:hAnsi="Arial" w:cs="Arial"/>
                <w:color w:val="000000"/>
              </w:rPr>
              <w:t>̆ тематики;</w:t>
            </w:r>
          </w:p>
          <w:p w14:paraId="3236BD31" w14:textId="77777777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Информационные агентства;</w:t>
            </w:r>
          </w:p>
          <w:p w14:paraId="7904C355" w14:textId="77777777" w:rsidR="00356176" w:rsidRPr="00493E76" w:rsidRDefault="0048373B" w:rsidP="00147928">
            <w:pPr>
              <w:pStyle w:val="ab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Новые медиа (в т.ч. телеграмм-каналы, подкасты, блоги).</w:t>
            </w:r>
          </w:p>
        </w:tc>
      </w:tr>
      <w:tr w:rsidR="00356176" w:rsidRPr="00493E76" w14:paraId="48A390B9" w14:textId="77777777" w:rsidTr="0076197D">
        <w:trPr>
          <w:trHeight w:val="570"/>
        </w:trPr>
        <w:tc>
          <w:tcPr>
            <w:tcW w:w="1985" w:type="dxa"/>
            <w:vAlign w:val="center"/>
          </w:tcPr>
          <w:p w14:paraId="4CE0A7B8" w14:textId="6D3AE668" w:rsidR="00356176" w:rsidRPr="00493E76" w:rsidRDefault="0048373B" w:rsidP="003F17D6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t>География работ</w:t>
            </w:r>
          </w:p>
        </w:tc>
        <w:tc>
          <w:tcPr>
            <w:tcW w:w="8079" w:type="dxa"/>
            <w:vAlign w:val="center"/>
          </w:tcPr>
          <w:p w14:paraId="618F119D" w14:textId="77777777" w:rsidR="00356176" w:rsidRPr="00493E76" w:rsidRDefault="0048373B" w:rsidP="0079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rFonts w:ascii="Arial" w:eastAsia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 xml:space="preserve">Россия и </w:t>
            </w:r>
            <w:r w:rsidRPr="00493E76">
              <w:rPr>
                <w:rFonts w:ascii="Arial" w:eastAsia="Arial" w:hAnsi="Arial" w:cs="Arial"/>
              </w:rPr>
              <w:t>(по запросу)</w:t>
            </w:r>
            <w:r w:rsidRPr="00493E76">
              <w:rPr>
                <w:rFonts w:ascii="Arial" w:eastAsia="Arial" w:hAnsi="Arial" w:cs="Arial"/>
                <w:color w:val="000000"/>
              </w:rPr>
              <w:t xml:space="preserve"> СНГ</w:t>
            </w:r>
          </w:p>
        </w:tc>
      </w:tr>
      <w:tr w:rsidR="00356176" w:rsidRPr="00493E76" w14:paraId="7529E8AD" w14:textId="77777777" w:rsidTr="0076197D">
        <w:trPr>
          <w:trHeight w:val="709"/>
        </w:trPr>
        <w:tc>
          <w:tcPr>
            <w:tcW w:w="1985" w:type="dxa"/>
            <w:vAlign w:val="center"/>
          </w:tcPr>
          <w:p w14:paraId="45F3D722" w14:textId="6008204A" w:rsidR="00356176" w:rsidRPr="00493E76" w:rsidRDefault="0048373B" w:rsidP="003F17D6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t xml:space="preserve">Планируемый срок Контракта </w:t>
            </w:r>
          </w:p>
        </w:tc>
        <w:tc>
          <w:tcPr>
            <w:tcW w:w="8079" w:type="dxa"/>
            <w:vAlign w:val="center"/>
          </w:tcPr>
          <w:p w14:paraId="36910998" w14:textId="45B49E2E" w:rsidR="00356176" w:rsidRPr="00493E76" w:rsidRDefault="0048373B" w:rsidP="00794FE1">
            <w:pPr>
              <w:ind w:left="426"/>
              <w:jc w:val="both"/>
              <w:rPr>
                <w:rFonts w:ascii="Arial" w:eastAsia="Arial" w:hAnsi="Arial" w:cs="Arial"/>
              </w:rPr>
            </w:pPr>
            <w:r w:rsidRPr="00493E76">
              <w:rPr>
                <w:rFonts w:ascii="Arial" w:eastAsia="Arial" w:hAnsi="Arial" w:cs="Arial"/>
              </w:rPr>
              <w:t>24 месяца с даты заключения договора</w:t>
            </w:r>
            <w:r w:rsidR="007C5A96" w:rsidRPr="00493E76">
              <w:rPr>
                <w:rFonts w:ascii="Arial" w:eastAsia="Arial" w:hAnsi="Arial" w:cs="Arial"/>
              </w:rPr>
              <w:t>.</w:t>
            </w:r>
          </w:p>
        </w:tc>
      </w:tr>
      <w:tr w:rsidR="00356176" w:rsidRPr="00493E76" w14:paraId="3B2E3390" w14:textId="77777777" w:rsidTr="0076197D">
        <w:trPr>
          <w:trHeight w:val="3999"/>
        </w:trPr>
        <w:tc>
          <w:tcPr>
            <w:tcW w:w="1985" w:type="dxa"/>
            <w:tcBorders>
              <w:bottom w:val="single" w:sz="6" w:space="0" w:color="CCD7FF"/>
            </w:tcBorders>
            <w:vAlign w:val="center"/>
          </w:tcPr>
          <w:p w14:paraId="63D03A98" w14:textId="3D916953" w:rsidR="00356176" w:rsidRPr="00493E76" w:rsidRDefault="0048373B" w:rsidP="00147928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</w:rPr>
            </w:pPr>
            <w:r w:rsidRPr="00493E76">
              <w:rPr>
                <w:rFonts w:ascii="Arial" w:eastAsia="Arial" w:hAnsi="Arial" w:cs="Arial"/>
                <w:b/>
              </w:rPr>
              <w:t xml:space="preserve">Требования </w:t>
            </w:r>
            <w:r w:rsidRPr="00493E76">
              <w:rPr>
                <w:rFonts w:ascii="Arial" w:eastAsia="Arial" w:hAnsi="Arial" w:cs="Arial"/>
                <w:b/>
              </w:rPr>
              <w:br/>
              <w:t>к предложению участника</w:t>
            </w:r>
          </w:p>
        </w:tc>
        <w:tc>
          <w:tcPr>
            <w:tcW w:w="8079" w:type="dxa"/>
            <w:tcBorders>
              <w:bottom w:val="single" w:sz="6" w:space="0" w:color="CCD7FF"/>
            </w:tcBorders>
            <w:vAlign w:val="center"/>
          </w:tcPr>
          <w:p w14:paraId="6F5B763D" w14:textId="77777777" w:rsidR="00147928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При подготовке предложения выразить свое согласие / соответствие Требованиям к поставщику, включить в предложение материалы, запрашиваемые в Требованиях к поставщику, отразить ответы на вопросы по критериям отбора в том же порядке, в котором они указаны.</w:t>
            </w:r>
          </w:p>
          <w:p w14:paraId="218948DD" w14:textId="46275E5A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Заполнить Таблицы из Приложения.</w:t>
            </w:r>
          </w:p>
          <w:p w14:paraId="2ABD05C0" w14:textId="4F7D7FD6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Выполнить тестовое задание в соответствии с брифом Заказчика</w:t>
            </w:r>
            <w:r w:rsidR="00A962E9" w:rsidRPr="00493E76">
              <w:rPr>
                <w:rFonts w:ascii="Arial" w:eastAsia="Arial" w:hAnsi="Arial" w:cs="Arial"/>
                <w:color w:val="000000"/>
              </w:rPr>
              <w:t>.</w:t>
            </w:r>
            <w:r w:rsidRPr="00493E7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0926AD2" w14:textId="77777777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Предложение должно быть подписано уполномоченным на это лицом и содержать предложение от участника по критериям отбора.</w:t>
            </w:r>
          </w:p>
          <w:p w14:paraId="7C18CC7B" w14:textId="77777777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Направить на адрес контактным лицам отсканированную версию предложения.</w:t>
            </w:r>
          </w:p>
          <w:p w14:paraId="5E6994DA" w14:textId="77777777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Указать сроки действия предложения.</w:t>
            </w:r>
          </w:p>
          <w:p w14:paraId="138046F0" w14:textId="77777777" w:rsidR="00356176" w:rsidRPr="00493E76" w:rsidRDefault="0048373B" w:rsidP="00147928">
            <w:pPr>
              <w:pStyle w:val="ab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jc w:val="both"/>
              <w:rPr>
                <w:rFonts w:ascii="Arial" w:hAnsi="Arial" w:cs="Arial"/>
                <w:i/>
                <w:color w:val="8496B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Указать контактное лицо.</w:t>
            </w:r>
          </w:p>
        </w:tc>
      </w:tr>
      <w:tr w:rsidR="00356176" w:rsidRPr="00493E76" w14:paraId="275D1E80" w14:textId="77777777" w:rsidTr="0076197D">
        <w:trPr>
          <w:trHeight w:val="5065"/>
        </w:trPr>
        <w:tc>
          <w:tcPr>
            <w:tcW w:w="1985" w:type="dxa"/>
            <w:tcBorders>
              <w:top w:val="single" w:sz="6" w:space="0" w:color="CCD7FF"/>
              <w:bottom w:val="single" w:sz="6" w:space="0" w:color="CCD7FF"/>
            </w:tcBorders>
            <w:vAlign w:val="center"/>
          </w:tcPr>
          <w:p w14:paraId="767CF500" w14:textId="71395BD1" w:rsidR="00356176" w:rsidRPr="00493E76" w:rsidRDefault="0048373B" w:rsidP="00147928">
            <w:pPr>
              <w:pStyle w:val="ab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b/>
              </w:rPr>
            </w:pPr>
            <w:r w:rsidRPr="00493E76">
              <w:rPr>
                <w:rFonts w:ascii="Arial" w:eastAsia="Arial" w:hAnsi="Arial" w:cs="Arial"/>
                <w:b/>
              </w:rPr>
              <w:lastRenderedPageBreak/>
              <w:t>Критерии отбора</w:t>
            </w:r>
          </w:p>
        </w:tc>
        <w:tc>
          <w:tcPr>
            <w:tcW w:w="8079" w:type="dxa"/>
            <w:tcBorders>
              <w:top w:val="single" w:sz="6" w:space="0" w:color="CCD7FF"/>
              <w:bottom w:val="single" w:sz="6" w:space="0" w:color="CCD7FF"/>
            </w:tcBorders>
            <w:vAlign w:val="center"/>
          </w:tcPr>
          <w:p w14:paraId="32CFEB19" w14:textId="77777777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Опыт работы в индустрии не менее 5 лет.</w:t>
            </w:r>
          </w:p>
          <w:p w14:paraId="6D7AFFB6" w14:textId="77777777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Опыт работы с IT индустрией.</w:t>
            </w:r>
          </w:p>
          <w:p w14:paraId="22B0DCF5" w14:textId="4EFF7CDA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Дополнительное преимущество: работа с крупными компаниями из топ-</w:t>
            </w:r>
            <w:r w:rsidR="00164E9D" w:rsidRPr="00493E76">
              <w:rPr>
                <w:rFonts w:ascii="Arial" w:eastAsia="Arial" w:hAnsi="Arial" w:cs="Arial"/>
              </w:rPr>
              <w:t>РБК 500</w:t>
            </w:r>
            <w:r w:rsidRPr="00493E76">
              <w:rPr>
                <w:rFonts w:ascii="Arial" w:eastAsia="Arial" w:hAnsi="Arial" w:cs="Arial"/>
              </w:rPr>
              <w:t>; опыт коммуникаций по IPO</w:t>
            </w:r>
            <w:r w:rsidR="005E63C6" w:rsidRPr="00493E76">
              <w:rPr>
                <w:rFonts w:ascii="Arial" w:eastAsia="Arial" w:hAnsi="Arial" w:cs="Arial"/>
              </w:rPr>
              <w:t>.</w:t>
            </w:r>
          </w:p>
          <w:p w14:paraId="761975F2" w14:textId="77777777" w:rsidR="00356176" w:rsidRPr="00493E76" w:rsidRDefault="0048373B" w:rsidP="00794FE1">
            <w:pPr>
              <w:numPr>
                <w:ilvl w:val="0"/>
                <w:numId w:val="4"/>
              </w:numPr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Успешные кейсы по:</w:t>
            </w:r>
          </w:p>
          <w:p w14:paraId="49CEC80A" w14:textId="77777777" w:rsidR="00356176" w:rsidRPr="00493E76" w:rsidRDefault="0048373B" w:rsidP="00794F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классическому PR-сопровождению клиентов, подтвержденные положительными отзывами клиентов и выполненными KPI;</w:t>
            </w:r>
          </w:p>
          <w:p w14:paraId="1CDCFCAE" w14:textId="77777777" w:rsidR="00356176" w:rsidRPr="00493E76" w:rsidRDefault="0048373B" w:rsidP="00794F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jc w:val="both"/>
              <w:rPr>
                <w:rFonts w:ascii="Arial" w:hAnsi="Arial" w:cs="Arial"/>
                <w:i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взаимодействию со СМИ: расширенные публикации в Tier-1 деловых и ИТ-изданиях;</w:t>
            </w:r>
          </w:p>
          <w:p w14:paraId="64D658E7" w14:textId="77777777" w:rsidR="00356176" w:rsidRPr="00493E76" w:rsidRDefault="0048373B" w:rsidP="00794F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jc w:val="both"/>
              <w:rPr>
                <w:rFonts w:ascii="Arial" w:hAnsi="Arial" w:cs="Arial"/>
                <w:i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коммуникационному сопровождению и продвижению HR-бренда клиентов, подтвержденные положительными отзывами клиентов и выполненными KPI;</w:t>
            </w:r>
          </w:p>
          <w:p w14:paraId="0E1D90E1" w14:textId="77777777" w:rsidR="00356176" w:rsidRPr="00493E76" w:rsidRDefault="0048373B" w:rsidP="00794F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jc w:val="both"/>
              <w:rPr>
                <w:rFonts w:ascii="Arial" w:hAnsi="Arial" w:cs="Arial"/>
                <w:i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разработке коммуникационных стратегий и планов продвижения для ИТ-компаний, продуктов, проектов;</w:t>
            </w:r>
          </w:p>
          <w:p w14:paraId="1F4BBDFD" w14:textId="77777777" w:rsidR="00356176" w:rsidRPr="00493E76" w:rsidRDefault="0048373B" w:rsidP="00794F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firstLine="0"/>
              <w:jc w:val="both"/>
              <w:rPr>
                <w:rFonts w:ascii="Arial" w:hAnsi="Arial" w:cs="Arial"/>
                <w:i/>
                <w:color w:val="000000"/>
              </w:rPr>
            </w:pPr>
            <w:r w:rsidRPr="00493E76">
              <w:rPr>
                <w:rFonts w:ascii="Arial" w:eastAsia="Arial" w:hAnsi="Arial" w:cs="Arial"/>
                <w:color w:val="000000"/>
              </w:rPr>
              <w:t>креативным коммуникационным кампаниям по продвижению (будет преимуществом).</w:t>
            </w:r>
          </w:p>
          <w:p w14:paraId="37C459DE" w14:textId="65D1232D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bookmarkStart w:id="1" w:name="_3znysh7" w:colFirst="0" w:colLast="0"/>
            <w:bookmarkEnd w:id="1"/>
            <w:r w:rsidRPr="00493E76">
              <w:rPr>
                <w:rFonts w:ascii="Arial" w:eastAsia="Arial" w:hAnsi="Arial" w:cs="Arial"/>
              </w:rPr>
              <w:t>Состав и квалификация команды, количество и портфолио штатных специалистов, планируемых для привлечения в проектную команду</w:t>
            </w:r>
            <w:r w:rsidR="005E63C6" w:rsidRPr="00493E76">
              <w:rPr>
                <w:rFonts w:ascii="Arial" w:eastAsia="Arial" w:hAnsi="Arial" w:cs="Arial"/>
              </w:rPr>
              <w:t>.</w:t>
            </w:r>
            <w:r w:rsidRPr="00493E76">
              <w:rPr>
                <w:rFonts w:ascii="Arial" w:eastAsia="Arial" w:hAnsi="Arial" w:cs="Arial"/>
              </w:rPr>
              <w:t xml:space="preserve"> </w:t>
            </w:r>
          </w:p>
          <w:p w14:paraId="02B87404" w14:textId="233F56D5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Готовность выполнения заявленного объема задач</w:t>
            </w:r>
            <w:r w:rsidR="005E63C6" w:rsidRPr="00493E76">
              <w:rPr>
                <w:rFonts w:ascii="Arial" w:eastAsia="Arial" w:hAnsi="Arial" w:cs="Arial"/>
              </w:rPr>
              <w:t>.</w:t>
            </w:r>
          </w:p>
          <w:p w14:paraId="7947732C" w14:textId="34DE5A69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eastAsia="Arial" w:hAnsi="Arial" w:cs="Arial"/>
              </w:rPr>
              <w:t>Качество выполнения тестового задания, соответствие выполненного задания целям и задачам Заказчика, а также брифу по заданию</w:t>
            </w:r>
            <w:r w:rsidR="005E63C6" w:rsidRPr="00493E76">
              <w:rPr>
                <w:rFonts w:ascii="Arial" w:eastAsia="Arial" w:hAnsi="Arial" w:cs="Arial"/>
              </w:rPr>
              <w:t>.</w:t>
            </w:r>
          </w:p>
          <w:p w14:paraId="451A6841" w14:textId="77777777" w:rsidR="00356176" w:rsidRPr="00493E76" w:rsidRDefault="0048373B" w:rsidP="00794FE1">
            <w:pPr>
              <w:numPr>
                <w:ilvl w:val="0"/>
                <w:numId w:val="4"/>
              </w:numPr>
              <w:tabs>
                <w:tab w:val="left" w:pos="391"/>
              </w:tabs>
              <w:ind w:left="426" w:firstLine="0"/>
              <w:jc w:val="both"/>
              <w:rPr>
                <w:rFonts w:ascii="Arial" w:hAnsi="Arial" w:cs="Arial"/>
              </w:rPr>
            </w:pPr>
            <w:bookmarkStart w:id="2" w:name="_2et92p0" w:colFirst="0" w:colLast="0"/>
            <w:bookmarkEnd w:id="2"/>
            <w:r w:rsidRPr="00493E76">
              <w:rPr>
                <w:rFonts w:ascii="Arial" w:eastAsia="Arial" w:hAnsi="Arial" w:cs="Arial"/>
              </w:rPr>
              <w:t>Гарантия выполнения KPI и прогнозы по возможному увеличению плановых показателей по доли позитива в рамках утвержденного бюджета.</w:t>
            </w:r>
          </w:p>
          <w:p w14:paraId="211E6D8B" w14:textId="77777777" w:rsidR="00356176" w:rsidRPr="00493E76" w:rsidRDefault="00356176" w:rsidP="00794FE1">
            <w:pPr>
              <w:tabs>
                <w:tab w:val="left" w:pos="391"/>
              </w:tabs>
              <w:ind w:left="426"/>
              <w:jc w:val="both"/>
              <w:rPr>
                <w:rFonts w:ascii="Arial" w:eastAsia="Arial" w:hAnsi="Arial" w:cs="Arial"/>
              </w:rPr>
            </w:pPr>
          </w:p>
        </w:tc>
      </w:tr>
    </w:tbl>
    <w:tbl>
      <w:tblPr>
        <w:tblStyle w:val="10"/>
        <w:tblpPr w:leftFromText="180" w:rightFromText="180" w:vertAnchor="text" w:tblpY="1"/>
        <w:tblOverlap w:val="never"/>
        <w:tblW w:w="100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C6D9F1" w:themeColor="text2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59"/>
      </w:tblGrid>
      <w:tr w:rsidR="00305BC0" w:rsidRPr="00BF117F" w14:paraId="22148872" w14:textId="77777777" w:rsidTr="00FA4D64">
        <w:trPr>
          <w:trHeight w:val="1097"/>
        </w:trPr>
        <w:tc>
          <w:tcPr>
            <w:tcW w:w="2405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vAlign w:val="center"/>
          </w:tcPr>
          <w:p w14:paraId="28B5A2AD" w14:textId="59FD1EF3" w:rsidR="00305BC0" w:rsidRPr="00493E76" w:rsidRDefault="00305BC0" w:rsidP="00147928">
            <w:pPr>
              <w:pStyle w:val="ab"/>
              <w:numPr>
                <w:ilvl w:val="0"/>
                <w:numId w:val="26"/>
              </w:numPr>
              <w:spacing w:before="100" w:beforeAutospacing="1" w:after="100" w:afterAutospacing="1"/>
              <w:ind w:right="50"/>
              <w:jc w:val="both"/>
              <w:rPr>
                <w:rFonts w:ascii="Arial" w:hAnsi="Arial" w:cs="Arial"/>
                <w:b/>
              </w:rPr>
            </w:pPr>
            <w:r w:rsidRPr="00493E76">
              <w:rPr>
                <w:rFonts w:ascii="Arial" w:hAnsi="Arial" w:cs="Arial"/>
                <w:b/>
              </w:rPr>
              <w:t>Бюджет</w:t>
            </w:r>
          </w:p>
        </w:tc>
        <w:tc>
          <w:tcPr>
            <w:tcW w:w="7659" w:type="dxa"/>
            <w:tcBorders>
              <w:top w:val="single" w:sz="6" w:space="0" w:color="C6D9F1" w:themeColor="text2" w:themeTint="33"/>
              <w:bottom w:val="single" w:sz="6" w:space="0" w:color="C6D9F1" w:themeColor="text2" w:themeTint="33"/>
            </w:tcBorders>
            <w:vAlign w:val="center"/>
          </w:tcPr>
          <w:p w14:paraId="5B2E80EA" w14:textId="5CD78E03" w:rsidR="00305BC0" w:rsidRPr="0099517E" w:rsidRDefault="00086403" w:rsidP="00794FE1">
            <w:pPr>
              <w:tabs>
                <w:tab w:val="left" w:pos="391"/>
              </w:tabs>
              <w:spacing w:before="100" w:beforeAutospacing="1" w:after="100" w:afterAutospacing="1"/>
              <w:ind w:right="50"/>
              <w:jc w:val="both"/>
              <w:rPr>
                <w:rFonts w:ascii="Arial" w:hAnsi="Arial" w:cs="Arial"/>
              </w:rPr>
            </w:pPr>
            <w:r w:rsidRPr="00493E76">
              <w:rPr>
                <w:rFonts w:ascii="Arial" w:hAnsi="Arial" w:cs="Arial"/>
              </w:rPr>
              <w:t>25</w:t>
            </w:r>
            <w:r w:rsidR="00305BC0" w:rsidRPr="00493E76">
              <w:rPr>
                <w:rFonts w:ascii="Arial" w:hAnsi="Arial" w:cs="Arial"/>
              </w:rPr>
              <w:t> 000 000 рублей / год</w:t>
            </w:r>
          </w:p>
        </w:tc>
      </w:tr>
    </w:tbl>
    <w:p w14:paraId="3A67E666" w14:textId="77777777" w:rsidR="00356176" w:rsidRPr="0099517E" w:rsidRDefault="00356176" w:rsidP="00794FE1">
      <w:pPr>
        <w:ind w:left="426"/>
        <w:jc w:val="both"/>
        <w:rPr>
          <w:rFonts w:ascii="Arial" w:hAnsi="Arial" w:cs="Arial"/>
          <w:sz w:val="20"/>
          <w:szCs w:val="20"/>
          <w:lang w:val="en-US"/>
        </w:rPr>
      </w:pPr>
    </w:p>
    <w:sectPr w:rsidR="00356176" w:rsidRPr="0099517E">
      <w:footerReference w:type="default" r:id="rId7"/>
      <w:pgSz w:w="11900" w:h="16820"/>
      <w:pgMar w:top="851" w:right="680" w:bottom="1418" w:left="964" w:header="68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2282" w14:textId="77777777" w:rsidR="007F7D13" w:rsidRDefault="007F7D13">
      <w:r>
        <w:separator/>
      </w:r>
    </w:p>
  </w:endnote>
  <w:endnote w:type="continuationSeparator" w:id="0">
    <w:p w14:paraId="7113F7F9" w14:textId="77777777" w:rsidR="007F7D13" w:rsidRDefault="007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5814" w14:textId="77777777" w:rsidR="00356176" w:rsidRDefault="00356176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2C3E" w14:textId="77777777" w:rsidR="007F7D13" w:rsidRDefault="007F7D13">
      <w:r>
        <w:separator/>
      </w:r>
    </w:p>
  </w:footnote>
  <w:footnote w:type="continuationSeparator" w:id="0">
    <w:p w14:paraId="0703CC23" w14:textId="77777777" w:rsidR="007F7D13" w:rsidRDefault="007F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E6B"/>
    <w:multiLevelType w:val="hybridMultilevel"/>
    <w:tmpl w:val="958E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83A"/>
    <w:multiLevelType w:val="hybridMultilevel"/>
    <w:tmpl w:val="7CCE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23C3"/>
    <w:multiLevelType w:val="hybridMultilevel"/>
    <w:tmpl w:val="4ED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0D38"/>
    <w:multiLevelType w:val="hybridMultilevel"/>
    <w:tmpl w:val="C0DE9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FD6345"/>
    <w:multiLevelType w:val="multilevel"/>
    <w:tmpl w:val="36861A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C3F"/>
    <w:multiLevelType w:val="multilevel"/>
    <w:tmpl w:val="D7D81756"/>
    <w:lvl w:ilvl="0">
      <w:start w:val="1"/>
      <w:numFmt w:val="bullet"/>
      <w:pStyle w:val="Inn"/>
      <w:lvlText w:val=""/>
      <w:lvlJc w:val="left"/>
      <w:pPr>
        <w:ind w:left="1191" w:hanging="284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00000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6" w15:restartNumberingAfterBreak="0">
    <w:nsid w:val="1D8769A5"/>
    <w:multiLevelType w:val="hybridMultilevel"/>
    <w:tmpl w:val="7B7CC8E0"/>
    <w:lvl w:ilvl="0" w:tplc="04190017">
      <w:start w:val="1"/>
      <w:numFmt w:val="lowerLetter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256F45"/>
    <w:multiLevelType w:val="hybridMultilevel"/>
    <w:tmpl w:val="E732F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5D62"/>
    <w:multiLevelType w:val="multilevel"/>
    <w:tmpl w:val="95B60054"/>
    <w:lvl w:ilvl="0">
      <w:start w:val="1"/>
      <w:numFmt w:val="decimal"/>
      <w:lvlText w:val="%1."/>
      <w:lvlJc w:val="left"/>
      <w:pPr>
        <w:ind w:left="720" w:hanging="360"/>
      </w:pPr>
      <w:rPr>
        <w:color w:val="0301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3D1BF7"/>
    <w:multiLevelType w:val="hybridMultilevel"/>
    <w:tmpl w:val="CDA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02AAB"/>
    <w:multiLevelType w:val="hybridMultilevel"/>
    <w:tmpl w:val="2FD8FB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CE44A3"/>
    <w:multiLevelType w:val="hybridMultilevel"/>
    <w:tmpl w:val="BF024F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4749DD"/>
    <w:multiLevelType w:val="hybridMultilevel"/>
    <w:tmpl w:val="B3C89CBA"/>
    <w:lvl w:ilvl="0" w:tplc="24B4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211F"/>
    <w:multiLevelType w:val="multilevel"/>
    <w:tmpl w:val="B388F948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numFmt w:val="bullet"/>
      <w:lvlText w:val="-"/>
      <w:lvlJc w:val="left"/>
      <w:pPr>
        <w:ind w:left="161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2F3C7A"/>
    <w:multiLevelType w:val="hybridMultilevel"/>
    <w:tmpl w:val="AFE2E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D686C"/>
    <w:multiLevelType w:val="hybridMultilevel"/>
    <w:tmpl w:val="100E4AC6"/>
    <w:lvl w:ilvl="0" w:tplc="222E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7A3236"/>
    <w:multiLevelType w:val="hybridMultilevel"/>
    <w:tmpl w:val="A52ABCA2"/>
    <w:lvl w:ilvl="0" w:tplc="45BE0E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D6C4C"/>
    <w:multiLevelType w:val="hybridMultilevel"/>
    <w:tmpl w:val="B6BA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F616A"/>
    <w:multiLevelType w:val="multilevel"/>
    <w:tmpl w:val="46E8A434"/>
    <w:lvl w:ilvl="0">
      <w:start w:val="1"/>
      <w:numFmt w:val="decimal"/>
      <w:lvlText w:val="%1."/>
      <w:lvlJc w:val="left"/>
      <w:pPr>
        <w:ind w:left="720" w:hanging="360"/>
      </w:pPr>
      <w:rPr>
        <w:color w:val="0301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B55C62"/>
    <w:multiLevelType w:val="hybridMultilevel"/>
    <w:tmpl w:val="D302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1E8D"/>
    <w:multiLevelType w:val="hybridMultilevel"/>
    <w:tmpl w:val="A204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3F8"/>
    <w:multiLevelType w:val="hybridMultilevel"/>
    <w:tmpl w:val="4724C3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612D4"/>
    <w:multiLevelType w:val="multilevel"/>
    <w:tmpl w:val="1556F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301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FC024F"/>
    <w:multiLevelType w:val="multilevel"/>
    <w:tmpl w:val="74F414F2"/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589"/>
      </w:pPr>
      <w:rPr>
        <w:rFonts w:ascii="Courier New" w:eastAsia="Courier New" w:hAnsi="Courier New" w:cs="Courier New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7B1BD1"/>
    <w:multiLevelType w:val="hybridMultilevel"/>
    <w:tmpl w:val="C44650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434DE0"/>
    <w:multiLevelType w:val="hybridMultilevel"/>
    <w:tmpl w:val="7D3AB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0A5D"/>
    <w:multiLevelType w:val="hybridMultilevel"/>
    <w:tmpl w:val="ABC4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1182A"/>
    <w:multiLevelType w:val="hybridMultilevel"/>
    <w:tmpl w:val="359C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C6F33"/>
    <w:multiLevelType w:val="hybridMultilevel"/>
    <w:tmpl w:val="F5B49C4A"/>
    <w:lvl w:ilvl="0" w:tplc="4636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C229E"/>
    <w:multiLevelType w:val="hybridMultilevel"/>
    <w:tmpl w:val="9AD2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608"/>
    <w:multiLevelType w:val="hybridMultilevel"/>
    <w:tmpl w:val="76983A84"/>
    <w:lvl w:ilvl="0" w:tplc="4362619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947A2C"/>
    <w:multiLevelType w:val="hybridMultilevel"/>
    <w:tmpl w:val="875AE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32BC4"/>
    <w:multiLevelType w:val="multilevel"/>
    <w:tmpl w:val="898A009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26962"/>
    <w:multiLevelType w:val="hybridMultilevel"/>
    <w:tmpl w:val="E9C84F3C"/>
    <w:lvl w:ilvl="0" w:tplc="448AF0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63AC7"/>
    <w:multiLevelType w:val="hybridMultilevel"/>
    <w:tmpl w:val="69EAC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454E2"/>
    <w:multiLevelType w:val="multilevel"/>
    <w:tmpl w:val="474CA73A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614390"/>
    <w:multiLevelType w:val="hybridMultilevel"/>
    <w:tmpl w:val="98DCD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93DC9"/>
    <w:multiLevelType w:val="hybridMultilevel"/>
    <w:tmpl w:val="1BC234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371E8"/>
    <w:multiLevelType w:val="hybridMultilevel"/>
    <w:tmpl w:val="463A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603A"/>
    <w:multiLevelType w:val="hybridMultilevel"/>
    <w:tmpl w:val="ABC2D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95DFE"/>
    <w:multiLevelType w:val="hybridMultilevel"/>
    <w:tmpl w:val="2B9EA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3"/>
  </w:num>
  <w:num w:numId="4">
    <w:abstractNumId w:val="13"/>
  </w:num>
  <w:num w:numId="5">
    <w:abstractNumId w:val="22"/>
  </w:num>
  <w:num w:numId="6">
    <w:abstractNumId w:val="35"/>
  </w:num>
  <w:num w:numId="7">
    <w:abstractNumId w:val="5"/>
  </w:num>
  <w:num w:numId="8">
    <w:abstractNumId w:val="7"/>
  </w:num>
  <w:num w:numId="9">
    <w:abstractNumId w:val="30"/>
  </w:num>
  <w:num w:numId="10">
    <w:abstractNumId w:val="11"/>
  </w:num>
  <w:num w:numId="11">
    <w:abstractNumId w:val="12"/>
  </w:num>
  <w:num w:numId="12">
    <w:abstractNumId w:val="6"/>
  </w:num>
  <w:num w:numId="13">
    <w:abstractNumId w:val="39"/>
  </w:num>
  <w:num w:numId="14">
    <w:abstractNumId w:val="38"/>
  </w:num>
  <w:num w:numId="15">
    <w:abstractNumId w:val="34"/>
  </w:num>
  <w:num w:numId="16">
    <w:abstractNumId w:val="14"/>
  </w:num>
  <w:num w:numId="17">
    <w:abstractNumId w:val="1"/>
  </w:num>
  <w:num w:numId="18">
    <w:abstractNumId w:val="25"/>
  </w:num>
  <w:num w:numId="19">
    <w:abstractNumId w:val="0"/>
  </w:num>
  <w:num w:numId="20">
    <w:abstractNumId w:val="40"/>
  </w:num>
  <w:num w:numId="21">
    <w:abstractNumId w:val="36"/>
  </w:num>
  <w:num w:numId="22">
    <w:abstractNumId w:val="9"/>
  </w:num>
  <w:num w:numId="23">
    <w:abstractNumId w:val="17"/>
  </w:num>
  <w:num w:numId="24">
    <w:abstractNumId w:val="19"/>
  </w:num>
  <w:num w:numId="25">
    <w:abstractNumId w:val="29"/>
  </w:num>
  <w:num w:numId="26">
    <w:abstractNumId w:val="16"/>
  </w:num>
  <w:num w:numId="27">
    <w:abstractNumId w:val="37"/>
  </w:num>
  <w:num w:numId="28">
    <w:abstractNumId w:val="21"/>
  </w:num>
  <w:num w:numId="29">
    <w:abstractNumId w:val="10"/>
  </w:num>
  <w:num w:numId="30">
    <w:abstractNumId w:val="33"/>
  </w:num>
  <w:num w:numId="31">
    <w:abstractNumId w:val="31"/>
  </w:num>
  <w:num w:numId="32">
    <w:abstractNumId w:val="15"/>
  </w:num>
  <w:num w:numId="33">
    <w:abstractNumId w:val="8"/>
  </w:num>
  <w:num w:numId="34">
    <w:abstractNumId w:val="18"/>
  </w:num>
  <w:num w:numId="35">
    <w:abstractNumId w:val="2"/>
  </w:num>
  <w:num w:numId="36">
    <w:abstractNumId w:val="20"/>
  </w:num>
  <w:num w:numId="37">
    <w:abstractNumId w:val="24"/>
  </w:num>
  <w:num w:numId="38">
    <w:abstractNumId w:val="3"/>
  </w:num>
  <w:num w:numId="39">
    <w:abstractNumId w:val="26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76"/>
    <w:rsid w:val="00041C07"/>
    <w:rsid w:val="00043BCC"/>
    <w:rsid w:val="000742AA"/>
    <w:rsid w:val="000775CA"/>
    <w:rsid w:val="00086403"/>
    <w:rsid w:val="000C43BC"/>
    <w:rsid w:val="000D7541"/>
    <w:rsid w:val="000E740A"/>
    <w:rsid w:val="00103CB8"/>
    <w:rsid w:val="00132D59"/>
    <w:rsid w:val="001439A4"/>
    <w:rsid w:val="00147928"/>
    <w:rsid w:val="00164E9D"/>
    <w:rsid w:val="00191B4A"/>
    <w:rsid w:val="0019247F"/>
    <w:rsid w:val="002F0B12"/>
    <w:rsid w:val="002F5D03"/>
    <w:rsid w:val="00305BC0"/>
    <w:rsid w:val="00356176"/>
    <w:rsid w:val="00371862"/>
    <w:rsid w:val="003C2FC9"/>
    <w:rsid w:val="003F17D6"/>
    <w:rsid w:val="0048373B"/>
    <w:rsid w:val="00493E76"/>
    <w:rsid w:val="005B549E"/>
    <w:rsid w:val="005E63C6"/>
    <w:rsid w:val="006516FB"/>
    <w:rsid w:val="00674239"/>
    <w:rsid w:val="006902DB"/>
    <w:rsid w:val="00700FE6"/>
    <w:rsid w:val="00711AE8"/>
    <w:rsid w:val="00721B0B"/>
    <w:rsid w:val="00742C33"/>
    <w:rsid w:val="007607C4"/>
    <w:rsid w:val="0076197D"/>
    <w:rsid w:val="00765A09"/>
    <w:rsid w:val="00776E5D"/>
    <w:rsid w:val="00793419"/>
    <w:rsid w:val="00794FE1"/>
    <w:rsid w:val="007C34F2"/>
    <w:rsid w:val="007C5A96"/>
    <w:rsid w:val="007D01C7"/>
    <w:rsid w:val="007F7D13"/>
    <w:rsid w:val="00813E87"/>
    <w:rsid w:val="00864D83"/>
    <w:rsid w:val="00876437"/>
    <w:rsid w:val="00885F27"/>
    <w:rsid w:val="008A3E13"/>
    <w:rsid w:val="008C72BA"/>
    <w:rsid w:val="00904C7B"/>
    <w:rsid w:val="009469CC"/>
    <w:rsid w:val="00960D71"/>
    <w:rsid w:val="0096675D"/>
    <w:rsid w:val="00980503"/>
    <w:rsid w:val="0099517E"/>
    <w:rsid w:val="009B4FAA"/>
    <w:rsid w:val="009B7202"/>
    <w:rsid w:val="00A31AC7"/>
    <w:rsid w:val="00A962E9"/>
    <w:rsid w:val="00B241EC"/>
    <w:rsid w:val="00B33FA6"/>
    <w:rsid w:val="00B62261"/>
    <w:rsid w:val="00BF117F"/>
    <w:rsid w:val="00C231D9"/>
    <w:rsid w:val="00C2503A"/>
    <w:rsid w:val="00C41A3D"/>
    <w:rsid w:val="00C532CD"/>
    <w:rsid w:val="00C704B7"/>
    <w:rsid w:val="00CA3614"/>
    <w:rsid w:val="00CA5214"/>
    <w:rsid w:val="00CC0D2A"/>
    <w:rsid w:val="00CC633E"/>
    <w:rsid w:val="00D04F55"/>
    <w:rsid w:val="00D5078B"/>
    <w:rsid w:val="00D52741"/>
    <w:rsid w:val="00D726AC"/>
    <w:rsid w:val="00DA55BA"/>
    <w:rsid w:val="00DB7B99"/>
    <w:rsid w:val="00E175A4"/>
    <w:rsid w:val="00E44576"/>
    <w:rsid w:val="00E50F01"/>
    <w:rsid w:val="00EA39FE"/>
    <w:rsid w:val="00F43F21"/>
    <w:rsid w:val="00FA425E"/>
    <w:rsid w:val="00FE01AA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3247"/>
  <w15:docId w15:val="{55814D9A-FAEF-9540-B7E3-71EC87CD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280" w:after="140" w:line="312" w:lineRule="auto"/>
      <w:ind w:left="360" w:hanging="360"/>
      <w:outlineLvl w:val="0"/>
    </w:pPr>
    <w:rPr>
      <w:rFonts w:ascii="Arial" w:eastAsia="Arial" w:hAnsi="Arial" w:cs="Arial"/>
      <w:b/>
      <w:color w:val="030125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line="264" w:lineRule="auto"/>
      <w:outlineLvl w:val="3"/>
    </w:pPr>
    <w:rPr>
      <w:rFonts w:ascii="Arial" w:eastAsia="Arial" w:hAnsi="Arial" w:cs="Arial"/>
      <w:i/>
      <w:color w:val="0029BF"/>
      <w:sz w:val="20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line="264" w:lineRule="auto"/>
      <w:outlineLvl w:val="4"/>
    </w:pPr>
    <w:rPr>
      <w:rFonts w:ascii="Arial" w:eastAsia="Arial" w:hAnsi="Arial" w:cs="Arial"/>
      <w:color w:val="0029BF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line="264" w:lineRule="auto"/>
      <w:outlineLvl w:val="5"/>
    </w:pPr>
    <w:rPr>
      <w:rFonts w:ascii="Arial" w:eastAsia="Arial" w:hAnsi="Arial" w:cs="Arial"/>
      <w:color w:val="001B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Arial" w:eastAsia="Arial" w:hAnsi="Arial" w:cs="Arial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Inn">
    <w:name w:val="Inn. Список (маркеры)"/>
    <w:basedOn w:val="a"/>
    <w:qFormat/>
    <w:rsid w:val="00885F27"/>
    <w:pPr>
      <w:numPr>
        <w:numId w:val="7"/>
      </w:numPr>
      <w:spacing w:after="60" w:line="264" w:lineRule="auto"/>
    </w:pPr>
    <w:rPr>
      <w:rFonts w:asciiTheme="minorHAnsi" w:eastAsiaTheme="minorHAnsi" w:hAnsiTheme="minorHAnsi" w:cs="Arial"/>
      <w:sz w:val="20"/>
      <w:szCs w:val="20"/>
      <w:lang w:eastAsia="en-US"/>
    </w:rPr>
  </w:style>
  <w:style w:type="table" w:styleId="aa">
    <w:name w:val="Table Grid"/>
    <w:basedOn w:val="a1"/>
    <w:uiPriority w:val="59"/>
    <w:rsid w:val="00885F27"/>
    <w:rPr>
      <w:rFonts w:ascii="Calibri" w:eastAsia="Calibri" w:hAnsi="Calibri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aliases w:val="ARIAL,Íóìåðîâàíûé ñïèñîê,Annexure,heading 9,No3,Heading 91,Список точки,Elenco Normale,маркированный,Абзац с отступом,3_Абзац списка,Уровент 2.2,Normal bold,List Paragraph_0,List Paragraph_1,Маркер"/>
    <w:basedOn w:val="a"/>
    <w:link w:val="ac"/>
    <w:uiPriority w:val="34"/>
    <w:qFormat/>
    <w:rsid w:val="006902D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A52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214"/>
    <w:rPr>
      <w:rFonts w:ascii="Segoe UI" w:hAnsi="Segoe UI" w:cs="Segoe UI"/>
      <w:sz w:val="18"/>
      <w:szCs w:val="18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CA5214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CA5214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91B4A"/>
  </w:style>
  <w:style w:type="table" w:customStyle="1" w:styleId="10">
    <w:name w:val="Сетка таблицы1"/>
    <w:basedOn w:val="a1"/>
    <w:next w:val="aa"/>
    <w:uiPriority w:val="59"/>
    <w:rsid w:val="00305BC0"/>
    <w:rPr>
      <w:rFonts w:ascii="Calibri" w:eastAsia="Calibri" w:hAnsi="Calibri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aliases w:val="ARIAL Знак,Íóìåðîâàíûé ñïèñîê Знак,Annexure Знак,heading 9 Знак,No3 Знак,Heading 91 Знак,Список точки Знак,Elenco Normale Знак,маркированный Знак,Абзац с отступом Знак,3_Абзац списка Знак,Уровент 2.2 Знак,Normal bold Знак,Маркер Знак"/>
    <w:basedOn w:val="a0"/>
    <w:link w:val="ab"/>
    <w:uiPriority w:val="34"/>
    <w:locked/>
    <w:rsid w:val="0065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Агафьева Анастасия Сергеевна</dc:creator>
  <cp:lastModifiedBy>Халилуллина Динара Шамилевна</cp:lastModifiedBy>
  <cp:revision>3</cp:revision>
  <dcterms:created xsi:type="dcterms:W3CDTF">2024-08-06T17:01:00Z</dcterms:created>
  <dcterms:modified xsi:type="dcterms:W3CDTF">2024-08-06T17:02:00Z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0x010100A6D1A775824FF045970BA77A41AFE78B</vt:lpwstr>
  </property>
  <property fmtid="{D5CDD505-2E9C-101B-9397-08002B2CF9AE}" pid="3" name="_docset_NoMedatataSyncRequired">
    <vt:lpwstr>False</vt:lpwstr>
  </property>
</Properties>
</file>