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EA816">
      <w:pPr>
        <w:rPr>
          <w:sz w:val="20"/>
          <w:szCs w:val="20"/>
        </w:rPr>
      </w:pPr>
    </w:p>
    <w:p w14:paraId="62833087">
      <w:pPr>
        <w:jc w:val="center"/>
        <w:rPr>
          <w:caps/>
          <w:sz w:val="20"/>
          <w:szCs w:val="20"/>
        </w:rPr>
      </w:pPr>
    </w:p>
    <w:p w14:paraId="5DE99165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Техническое задание</w:t>
      </w:r>
    </w:p>
    <w:p w14:paraId="77D5D00F">
      <w:pPr>
        <w:jc w:val="center"/>
        <w:rPr>
          <w:rFonts w:hint="default" w:ascii="Arial" w:hAnsi="Arial" w:cs="Arial"/>
          <w:b/>
          <w:sz w:val="22"/>
          <w:szCs w:val="22"/>
          <w:lang w:val="ru-RU"/>
        </w:rPr>
      </w:pPr>
      <w:bookmarkStart w:id="0" w:name="_Hlk65062481"/>
      <w:r>
        <w:rPr>
          <w:rFonts w:ascii="Arial" w:hAnsi="Arial" w:cs="Arial"/>
          <w:b/>
          <w:sz w:val="22"/>
          <w:szCs w:val="22"/>
        </w:rPr>
        <w:t xml:space="preserve">Поставка </w:t>
      </w:r>
      <w:bookmarkEnd w:id="0"/>
      <w:r>
        <w:rPr>
          <w:rFonts w:ascii="Arial" w:hAnsi="Arial" w:cs="Arial"/>
          <w:b/>
          <w:sz w:val="22"/>
          <w:szCs w:val="22"/>
          <w:lang w:val="ru-RU"/>
        </w:rPr>
        <w:t>пломбировочных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материалов для нужд  сети стоматологических клиник</w:t>
      </w:r>
    </w:p>
    <w:p w14:paraId="237F19D7">
      <w:pPr>
        <w:jc w:val="center"/>
        <w:rPr>
          <w:rFonts w:ascii="Arial" w:hAnsi="Arial" w:cs="Arial"/>
          <w:b/>
          <w:sz w:val="22"/>
          <w:szCs w:val="22"/>
        </w:rPr>
      </w:pPr>
    </w:p>
    <w:p w14:paraId="609BB5E0">
      <w:pPr>
        <w:numPr>
          <w:ilvl w:val="0"/>
          <w:numId w:val="4"/>
        </w:numPr>
        <w:tabs>
          <w:tab w:val="left" w:pos="567"/>
        </w:tabs>
        <w:suppressAutoHyphens w:val="0"/>
        <w:ind w:left="142" w:firstLine="0"/>
        <w:jc w:val="both"/>
        <w:rPr>
          <w:rFonts w:ascii="Helvetica" w:hAnsi="Helvetica" w:cs="Arial"/>
          <w:b/>
          <w:color w:val="1A1A1A"/>
          <w:sz w:val="19"/>
          <w:szCs w:val="19"/>
          <w:highlight w:val="yellow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 xml:space="preserve">Объект закупки: </w:t>
      </w:r>
      <w:r>
        <w:rPr>
          <w:rFonts w:hint="default" w:ascii="Helvetica" w:hAnsi="Helvetica"/>
          <w:color w:val="1A1A1A"/>
          <w:sz w:val="19"/>
          <w:szCs w:val="19"/>
          <w:highlight w:val="yellow"/>
          <w:shd w:val="clear" w:color="auto" w:fill="FFFFFF"/>
        </w:rPr>
        <w:t>AM-2000 PLUS, микроскоп хирургический, 12Х, напольный, черный</w:t>
      </w:r>
    </w:p>
    <w:p w14:paraId="07BA9D96">
      <w:pPr>
        <w:tabs>
          <w:tab w:val="left" w:pos="567"/>
        </w:tabs>
        <w:suppressAutoHyphens w:val="0"/>
        <w:ind w:left="142"/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509D37E7">
      <w:pPr>
        <w:numPr>
          <w:ilvl w:val="0"/>
          <w:numId w:val="4"/>
        </w:numPr>
        <w:tabs>
          <w:tab w:val="left" w:pos="567"/>
          <w:tab w:val="left" w:pos="709"/>
        </w:tabs>
        <w:suppressAutoHyphens w:val="0"/>
        <w:ind w:left="142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Место поставки: </w:t>
      </w:r>
    </w:p>
    <w:p w14:paraId="1659D800">
      <w:pPr>
        <w:tabs>
          <w:tab w:val="left" w:pos="567"/>
          <w:tab w:val="left" w:pos="709"/>
        </w:tabs>
        <w:suppressAutoHyphens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33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414"/>
        <w:gridCol w:w="3938"/>
      </w:tblGrid>
      <w:tr w14:paraId="2E92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3" w:type="dxa"/>
            <w:noWrap/>
          </w:tcPr>
          <w:p w14:paraId="2FFE0FD8">
            <w:pPr>
              <w:tabs>
                <w:tab w:val="left" w:pos="567"/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Регион</w:t>
            </w:r>
          </w:p>
        </w:tc>
        <w:tc>
          <w:tcPr>
            <w:tcW w:w="3414" w:type="dxa"/>
          </w:tcPr>
          <w:p w14:paraId="40B2A3F7">
            <w:pPr>
              <w:tabs>
                <w:tab w:val="left" w:pos="567"/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Название клиники юридическое</w:t>
            </w:r>
          </w:p>
        </w:tc>
        <w:tc>
          <w:tcPr>
            <w:tcW w:w="3938" w:type="dxa"/>
            <w:noWrap/>
          </w:tcPr>
          <w:p w14:paraId="2049140C">
            <w:pPr>
              <w:tabs>
                <w:tab w:val="left" w:pos="567"/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Адрес/телефон клиники</w:t>
            </w:r>
          </w:p>
        </w:tc>
      </w:tr>
      <w:tr w14:paraId="774B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63" w:type="dxa"/>
            <w:noWrap/>
          </w:tcPr>
          <w:p w14:paraId="4D8C69C7">
            <w:pPr>
              <w:tabs>
                <w:tab w:val="left" w:pos="567"/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Самара</w:t>
            </w:r>
          </w:p>
        </w:tc>
        <w:tc>
          <w:tcPr>
            <w:tcW w:w="3414" w:type="dxa"/>
          </w:tcPr>
          <w:p w14:paraId="1EC2E30B">
            <w:pPr>
              <w:tabs>
                <w:tab w:val="left" w:pos="567"/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ООО "Стоматология Самара"</w:t>
            </w:r>
          </w:p>
        </w:tc>
        <w:tc>
          <w:tcPr>
            <w:tcW w:w="3938" w:type="dxa"/>
          </w:tcPr>
          <w:p w14:paraId="358CD81E">
            <w:pPr>
              <w:tabs>
                <w:tab w:val="left" w:pos="567"/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Самарская, 207</w:t>
            </w:r>
          </w:p>
        </w:tc>
      </w:tr>
    </w:tbl>
    <w:p w14:paraId="219947F0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5DC05F50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3A76777A">
      <w:pPr>
        <w:pStyle w:val="88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Срок и условия поставки: </w:t>
      </w:r>
      <w:r>
        <w:rPr>
          <w:rFonts w:ascii="Arial" w:hAnsi="Arial" w:cs="Arial"/>
          <w:bCs/>
        </w:rPr>
        <w:t xml:space="preserve">Поставка товара осуществляется в соответствии с Приложением №1 (Спецификация) партиями на основании заявок Заказчика в течение 3 (трех) рабочих дней со дня подачи заявки, содержащих условия о наименовании и номенклатурном номере товара, единицы измерения, количестве единиц товара, дате заявки и адресе доставки товара.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Заявка формируется с учетом потребностей Заказчика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Поставка товара осуществляется Поставщиком с момента заключения договора до окончания срока действия договора.</w:t>
      </w:r>
    </w:p>
    <w:p w14:paraId="0084E695">
      <w:pPr>
        <w:pStyle w:val="88"/>
        <w:tabs>
          <w:tab w:val="left" w:pos="567"/>
          <w:tab w:val="left" w:pos="709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6DD26600">
      <w:pPr>
        <w:pStyle w:val="88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Требования к качеству товара:</w:t>
      </w:r>
      <w:r>
        <w:rPr>
          <w:rFonts w:ascii="Arial" w:hAnsi="Arial" w:cs="Arial"/>
        </w:rPr>
        <w:t xml:space="preserve">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работоспособным и иметь предусмотренную изготовителем функциональность и должен быть свободен от прав третьих лиц.</w:t>
      </w:r>
    </w:p>
    <w:p w14:paraId="3B9FF04E">
      <w:pPr>
        <w:pStyle w:val="88"/>
        <w:tabs>
          <w:tab w:val="left" w:pos="567"/>
          <w:tab w:val="left" w:pos="709"/>
        </w:tabs>
        <w:spacing w:after="0" w:line="240" w:lineRule="auto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Изделия медицинского назначения должны быть зарегистрированы и разрешены к применению на территории Российской Федерации (п. 4 ст. 38 Федерального закона от 21.11.2011 № 323-ФЗ «Об основах охраны здоровья граждан в Российской Федерации»), что подтверждается регистрационными удостоверениями.</w:t>
      </w:r>
    </w:p>
    <w:p w14:paraId="01D2C62B">
      <w:pPr>
        <w:tabs>
          <w:tab w:val="left" w:pos="567"/>
        </w:tabs>
        <w:ind w:left="142" w:firstLine="425"/>
        <w:contextualSpacing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Поставка каждой партии товара должна сопровождаться документами, подтверждающими качество и безопасность поставляемых товаров: копии действующих сертификатов и/или декларации о соответствии, оформленные в соответствии с требованиями действующего законодательства (на товар, подлежащий обязательной сертификации). </w:t>
      </w:r>
    </w:p>
    <w:p w14:paraId="5EBC8CA8">
      <w:pPr>
        <w:tabs>
          <w:tab w:val="left" w:pos="567"/>
        </w:tabs>
        <w:ind w:left="142" w:firstLine="425"/>
        <w:contextualSpacing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14:paraId="0C5121B8">
      <w:pPr>
        <w:pStyle w:val="64"/>
        <w:numPr>
          <w:ilvl w:val="0"/>
          <w:numId w:val="4"/>
        </w:numPr>
        <w:tabs>
          <w:tab w:val="left" w:pos="567"/>
        </w:tabs>
        <w:ind w:left="142" w:firstLine="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Гарантия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на поставляемый товар должна составлять не менее 12 месяцев, но не менее срока, установленного производителем товара.</w:t>
      </w:r>
    </w:p>
    <w:p w14:paraId="2C2755C5">
      <w:pPr>
        <w:pStyle w:val="64"/>
        <w:tabs>
          <w:tab w:val="left" w:pos="567"/>
        </w:tabs>
        <w:ind w:left="142"/>
        <w:rPr>
          <w:rFonts w:ascii="Arial" w:hAnsi="Arial" w:eastAsia="Calibri" w:cs="Arial"/>
          <w:sz w:val="22"/>
          <w:szCs w:val="22"/>
        </w:rPr>
      </w:pPr>
    </w:p>
    <w:p w14:paraId="1F873DED">
      <w:pPr>
        <w:pStyle w:val="64"/>
        <w:numPr>
          <w:ilvl w:val="0"/>
          <w:numId w:val="4"/>
        </w:numPr>
        <w:tabs>
          <w:tab w:val="left" w:pos="567"/>
        </w:tabs>
        <w:ind w:left="142" w:firstLine="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Требования к упаковке: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Тара и упаковка должны обеспечивать сохранность товара при его транспортировке и хранении. Товар должен поставляться в упаковке производителя.</w:t>
      </w:r>
    </w:p>
    <w:p w14:paraId="60F341D5">
      <w:pPr>
        <w:tabs>
          <w:tab w:val="left" w:pos="567"/>
        </w:tabs>
        <w:rPr>
          <w:rFonts w:ascii="Arial" w:hAnsi="Arial" w:eastAsia="Calibri" w:cs="Arial"/>
          <w:sz w:val="22"/>
          <w:szCs w:val="22"/>
        </w:rPr>
      </w:pPr>
    </w:p>
    <w:p w14:paraId="225F7BC6">
      <w:pPr>
        <w:pStyle w:val="64"/>
        <w:numPr>
          <w:ilvl w:val="0"/>
          <w:numId w:val="4"/>
        </w:numPr>
        <w:tabs>
          <w:tab w:val="left" w:pos="567"/>
        </w:tabs>
        <w:ind w:left="142" w:firstLine="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Условия поставки: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Доставка товара, погрузочно-разгрузочные работы, подъем на необходимый этаж, производится силами и за счет средств Поставщика до Заказчика. </w:t>
      </w:r>
    </w:p>
    <w:p w14:paraId="42981DEC">
      <w:pPr>
        <w:pStyle w:val="64"/>
        <w:tabs>
          <w:tab w:val="left" w:pos="567"/>
        </w:tabs>
        <w:ind w:left="142"/>
        <w:rPr>
          <w:rFonts w:ascii="Arial" w:hAnsi="Arial" w:eastAsia="Calibri" w:cs="Arial"/>
          <w:sz w:val="22"/>
          <w:szCs w:val="22"/>
        </w:rPr>
      </w:pPr>
    </w:p>
    <w:p w14:paraId="3BADEE21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В комплект поставки товара должны входить все необходимые материалы, комплектующие и принадлежности в соответствии с его функциональным назначением и требованиями технического задания.</w:t>
      </w:r>
    </w:p>
    <w:p w14:paraId="1A954580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В комплект поставки должна быть включена необходимая эксплуатационная документация на русском языке.</w:t>
      </w:r>
    </w:p>
    <w:p w14:paraId="12FACC4C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Информация о товаре, в том числе маркировка на упаковке и на изделии (где требуется) должна быть на русском языке или продублирована на русском языке. Маркировка должна содержать сведения о товаре,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стандартами и требованиями и иной нормативно-технической документации, действующей в Российской Федерации.  </w:t>
      </w:r>
    </w:p>
    <w:p w14:paraId="1222BAAE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Поставщик обязан передать оформленные сопроводительные документы на поставляемый товар (товарная накладная, счет (счет-фактура), сертификаты качества, регистрационные удостоверения при наличии, иные документы, подтверждающие качество товара и безопасность товара применительно к каждому виду товара) в момент поставки товаров. Продукция, предлагаемая к поставке, должна поставляться в полном соответствии с нормами и требованиями законодательства.</w:t>
      </w:r>
    </w:p>
    <w:p w14:paraId="1DBF2F67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 Стоимость товара остается неизменной в течение всего срока действия договора;</w:t>
      </w:r>
    </w:p>
    <w:p w14:paraId="5A9B5DC1">
      <w:pPr>
        <w:tabs>
          <w:tab w:val="left" w:pos="567"/>
        </w:tabs>
        <w:ind w:left="142"/>
        <w:rPr>
          <w:rFonts w:ascii="Arial" w:hAnsi="Arial" w:eastAsia="Calibri" w:cs="Arial"/>
          <w:sz w:val="22"/>
          <w:szCs w:val="22"/>
        </w:rPr>
      </w:pPr>
    </w:p>
    <w:p w14:paraId="441C2A21">
      <w:pPr>
        <w:pStyle w:val="64"/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ind w:left="142" w:firstLine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Требования к остаточному сроку годности: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Остаточный срок годности на момент поставки товара, в зависимости от срока годности товара, установленного производителем, составляет: </w:t>
      </w:r>
    </w:p>
    <w:p w14:paraId="53459C69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07890D9B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срок годности до 1 года включительно – остаточный срок годности не менее 8 месяцев;</w:t>
      </w:r>
    </w:p>
    <w:p w14:paraId="2FDBB014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срок годности 1 до 2 лет включительно - остаточный срок годности не менее 12 месяцев;</w:t>
      </w:r>
    </w:p>
    <w:p w14:paraId="19FEAEA8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срок годности от 2 до 3 лет включительно - остаточный срок годности не менее 1 года 6 месяцев; срок годности от 3 до 5 лет включительно - остаточный срок годности  не менее 2 лет 6 месяцев; </w:t>
      </w:r>
    </w:p>
    <w:p w14:paraId="5A7F3022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срок годности 5 лет и более - остаточный срок годности не менее 3 лет. </w:t>
      </w:r>
    </w:p>
    <w:p w14:paraId="05DA9724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42D11AAB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37C5AB33">
      <w:pPr>
        <w:pStyle w:val="64"/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1" w:name="_Hlk161915131"/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Перечень нормативных правовых и нормативных технических актов:</w:t>
      </w:r>
    </w:p>
    <w:bookmarkEnd w:id="1"/>
    <w:p w14:paraId="31DECD33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4B72DECA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9.1- Постановление Правительства РФ от 27.12.2012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1416 "Об утверждении Правил государственной регистрации медицинских изделий"</w:t>
      </w:r>
    </w:p>
    <w:p w14:paraId="10D9CD3E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9.2 - ПРИКАЗ от 16 января 2013 г.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40-Пр/13 «ОБ УТВЕРЖДЕНИИ ФОРМЫ РЕГИСТРАЦИОННОГО УДОСТОВЕРЕНИЯ НА МЕДИЦИНСКОЕ ИЗДЕЛИЕ»</w:t>
      </w:r>
    </w:p>
    <w:p w14:paraId="0EA37F8B">
      <w:pPr>
        <w:pStyle w:val="31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9.3 - Н</w:t>
      </w:r>
      <w:r>
        <w:rPr>
          <w:rFonts w:ascii="Arial" w:hAnsi="Arial" w:cs="Arial"/>
          <w:sz w:val="22"/>
          <w:szCs w:val="22"/>
        </w:rPr>
        <w:t xml:space="preserve">ациональный стандарт Российской Федерации </w:t>
      </w:r>
      <w:r>
        <w:rPr>
          <w:rFonts w:ascii="Arial" w:hAnsi="Arial" w:cs="Arial"/>
          <w:sz w:val="22"/>
          <w:szCs w:val="22"/>
          <w:lang w:eastAsia="zh-CN"/>
        </w:rPr>
        <w:t>ГОСТ Р ИСО 15223-1-2014 «Изделия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требования»</w:t>
      </w:r>
    </w:p>
    <w:p w14:paraId="3160BDEE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9.4 - Федеральный закон от 21.11.2011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323-ФЗ "Об основах охраны здоровья граждан в Российской Федерации"</w:t>
      </w:r>
    </w:p>
    <w:p w14:paraId="67632368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9.5 - Приказ Минздрава России от 19.01.2017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11н "Об утверждении требований к содержанию технической и эксплуатационной документации производителя (изготовителя) медицинского изделия"</w:t>
      </w:r>
    </w:p>
    <w:p w14:paraId="615245B7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9.6 - Решение Комиссии Таможенного союза от 28.05.2010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299 "О применении санитарных мер в таможенном союзе".</w:t>
      </w:r>
    </w:p>
    <w:p w14:paraId="2C495DC4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9.7 - Федеральный закон от 27.12.2002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184-ФЗ "О техническом регулировании"</w:t>
      </w:r>
    </w:p>
    <w:p w14:paraId="159EEB57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9.8 - Федеральный закон от 27.11.2010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311-ФЗ "О таможенном регулировании в Российской Федерации".</w:t>
      </w:r>
    </w:p>
    <w:p w14:paraId="3B2501CA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9.9 -  </w:t>
      </w:r>
      <w:r>
        <w:rPr>
          <w:rFonts w:ascii="Arial" w:hAnsi="Arial" w:cs="Arial"/>
          <w:sz w:val="22"/>
          <w:szCs w:val="22"/>
        </w:rPr>
        <w:t xml:space="preserve">Постановление Правительства РФ от 23.12.2021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</w:t>
      </w:r>
    </w:p>
    <w:p w14:paraId="2B194AF3">
      <w:pPr>
        <w:pStyle w:val="64"/>
        <w:widowControl w:val="0"/>
        <w:numPr>
          <w:ilvl w:val="1"/>
          <w:numId w:val="6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- Гражданский кодекс Российской Федерации.</w:t>
      </w:r>
    </w:p>
    <w:p w14:paraId="2EDD001E">
      <w:pPr>
        <w:pStyle w:val="31"/>
        <w:numPr>
          <w:ilvl w:val="1"/>
          <w:numId w:val="6"/>
        </w:numPr>
        <w:spacing w:before="0" w:beforeAutospacing="0" w:after="0" w:afterAutospacing="0" w:line="288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Постановление Правительства РФ от 01.04.2022 N 552 "Об утверждении особенностей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характера" </w:t>
      </w:r>
    </w:p>
    <w:p w14:paraId="09CDC33A">
      <w:pPr>
        <w:pStyle w:val="64"/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ind w:left="420"/>
        <w:rPr>
          <w:rFonts w:ascii="Arial" w:hAnsi="Arial" w:cs="Arial"/>
          <w:sz w:val="22"/>
          <w:szCs w:val="22"/>
          <w:lang w:eastAsia="zh-CN"/>
        </w:rPr>
      </w:pPr>
    </w:p>
    <w:p w14:paraId="4E8EC469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5E4AA98D">
      <w:pPr>
        <w:pStyle w:val="64"/>
        <w:numPr>
          <w:ilvl w:val="0"/>
          <w:numId w:val="4"/>
        </w:numPr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Описание объекта закупки (согласно Приложению №1 Спецификация, являющемся неотъемлемой частью настоящего Технического задания.)</w:t>
      </w:r>
    </w:p>
    <w:p w14:paraId="78AD8102">
      <w:pPr>
        <w:pStyle w:val="64"/>
        <w:tabs>
          <w:tab w:val="left" w:pos="567"/>
        </w:tabs>
        <w:spacing w:after="200"/>
        <w:ind w:left="862"/>
        <w:contextualSpacing/>
        <w:rPr>
          <w:rFonts w:ascii="Arial" w:hAnsi="Arial" w:cs="Arial"/>
          <w:b/>
          <w:sz w:val="22"/>
          <w:szCs w:val="22"/>
          <w:highlight w:val="yellow"/>
          <w:lang w:eastAsia="zh-CN"/>
        </w:rPr>
      </w:pPr>
    </w:p>
    <w:sectPr>
      <w:headerReference r:id="rId3" w:type="default"/>
      <w:footerReference r:id="rId4" w:type="default"/>
      <w:footnotePr>
        <w:numRestart w:val="eachPage"/>
      </w:footnotePr>
      <w:pgSz w:w="11906" w:h="16838"/>
      <w:pgMar w:top="567" w:right="567" w:bottom="567" w:left="1134" w:header="720" w:footer="720" w:gutter="0"/>
      <w:cols w:space="720" w:num="1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3572964"/>
      <w:docPartObj>
        <w:docPartGallery w:val="autotext"/>
      </w:docPartObj>
    </w:sdtPr>
    <w:sdtContent>
      <w:p w14:paraId="0844A180">
        <w:pPr>
          <w:pStyle w:val="2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19F29B3">
    <w:pPr>
      <w:pStyle w:val="2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8574">
    <w:pPr>
      <w:pStyle w:val="22"/>
    </w:pPr>
  </w:p>
  <w:p w14:paraId="7E236BA2"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15191C62"/>
    <w:multiLevelType w:val="multilevel"/>
    <w:tmpl w:val="15191C62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 w:tentative="0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 w:tentative="0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1E571AD9"/>
    <w:multiLevelType w:val="multilevel"/>
    <w:tmpl w:val="1E571AD9"/>
    <w:lvl w:ilvl="0" w:tentative="0">
      <w:start w:val="1"/>
      <w:numFmt w:val="decimal"/>
      <w:pStyle w:val="72"/>
      <w:lvlText w:val="%1."/>
      <w:lvlJc w:val="center"/>
      <w:pPr>
        <w:tabs>
          <w:tab w:val="left" w:pos="0"/>
        </w:tabs>
        <w:ind w:left="0" w:firstLine="0"/>
      </w:pPr>
      <w:rPr>
        <w:rFonts w:hint="default"/>
        <w:b/>
        <w:i w:val="0"/>
      </w:rPr>
    </w:lvl>
    <w:lvl w:ilvl="1" w:tentative="0">
      <w:start w:val="1"/>
      <w:numFmt w:val="decimal"/>
      <w:pStyle w:val="73"/>
      <w:lvlText w:val="%1.%2"/>
      <w:lvlJc w:val="left"/>
      <w:pPr>
        <w:tabs>
          <w:tab w:val="left" w:pos="851"/>
        </w:tabs>
        <w:ind w:left="851" w:hanging="851"/>
      </w:pPr>
      <w:rPr>
        <w:rFonts w:hint="default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pStyle w:val="74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 w:tentative="0">
      <w:start w:val="1"/>
      <w:numFmt w:val="lowerLetter"/>
      <w:pStyle w:val="75"/>
      <w:lvlText w:val="%4)"/>
      <w:lvlJc w:val="left"/>
      <w:pPr>
        <w:tabs>
          <w:tab w:val="left" w:pos="1418"/>
        </w:tabs>
        <w:ind w:left="1418" w:hanging="567"/>
      </w:pPr>
      <w:rPr>
        <w:rFonts w:hint="default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hint="default" w:ascii="Symbol" w:hAnsi="Symbol"/>
      </w:rPr>
    </w:lvl>
    <w:lvl w:ilvl="6" w:tentative="0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hint="default"/>
      </w:rPr>
    </w:lvl>
  </w:abstractNum>
  <w:abstractNum w:abstractNumId="4">
    <w:nsid w:val="2B476FA5"/>
    <w:multiLevelType w:val="multilevel"/>
    <w:tmpl w:val="2B476FA5"/>
    <w:lvl w:ilvl="0" w:tentative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613048"/>
    <w:multiLevelType w:val="multilevel"/>
    <w:tmpl w:val="30613048"/>
    <w:lvl w:ilvl="0" w:tentative="0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200"/>
  <w:displayHorizont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FA"/>
    <w:rsid w:val="00012597"/>
    <w:rsid w:val="00021EBF"/>
    <w:rsid w:val="000352DD"/>
    <w:rsid w:val="000502DA"/>
    <w:rsid w:val="00056814"/>
    <w:rsid w:val="00063DC6"/>
    <w:rsid w:val="00077B02"/>
    <w:rsid w:val="00084053"/>
    <w:rsid w:val="000A2940"/>
    <w:rsid w:val="000A62C6"/>
    <w:rsid w:val="000D2832"/>
    <w:rsid w:val="000E7E16"/>
    <w:rsid w:val="001313ED"/>
    <w:rsid w:val="001437C0"/>
    <w:rsid w:val="00171966"/>
    <w:rsid w:val="00173441"/>
    <w:rsid w:val="001815C1"/>
    <w:rsid w:val="001849AF"/>
    <w:rsid w:val="001A417F"/>
    <w:rsid w:val="001B7184"/>
    <w:rsid w:val="00204112"/>
    <w:rsid w:val="002717DD"/>
    <w:rsid w:val="00275D71"/>
    <w:rsid w:val="002865E2"/>
    <w:rsid w:val="00287BEE"/>
    <w:rsid w:val="002958C0"/>
    <w:rsid w:val="002A4A08"/>
    <w:rsid w:val="002D001F"/>
    <w:rsid w:val="002D6092"/>
    <w:rsid w:val="002D7445"/>
    <w:rsid w:val="002E2589"/>
    <w:rsid w:val="002F3CE4"/>
    <w:rsid w:val="002F676F"/>
    <w:rsid w:val="00316703"/>
    <w:rsid w:val="00324315"/>
    <w:rsid w:val="0033716E"/>
    <w:rsid w:val="00342E3C"/>
    <w:rsid w:val="003564AA"/>
    <w:rsid w:val="00376FDD"/>
    <w:rsid w:val="003B0213"/>
    <w:rsid w:val="003C2044"/>
    <w:rsid w:val="003C7605"/>
    <w:rsid w:val="003F4F51"/>
    <w:rsid w:val="004062AB"/>
    <w:rsid w:val="00410753"/>
    <w:rsid w:val="004154E5"/>
    <w:rsid w:val="00422B4B"/>
    <w:rsid w:val="00433B72"/>
    <w:rsid w:val="00434105"/>
    <w:rsid w:val="0044198C"/>
    <w:rsid w:val="00462471"/>
    <w:rsid w:val="00463739"/>
    <w:rsid w:val="004A4924"/>
    <w:rsid w:val="004B197F"/>
    <w:rsid w:val="004B34E0"/>
    <w:rsid w:val="004C115C"/>
    <w:rsid w:val="004D536D"/>
    <w:rsid w:val="004E1C82"/>
    <w:rsid w:val="004E3EFA"/>
    <w:rsid w:val="004E421F"/>
    <w:rsid w:val="005017CD"/>
    <w:rsid w:val="00503D18"/>
    <w:rsid w:val="00541664"/>
    <w:rsid w:val="00544621"/>
    <w:rsid w:val="00552D29"/>
    <w:rsid w:val="00561542"/>
    <w:rsid w:val="00561AC5"/>
    <w:rsid w:val="0058115C"/>
    <w:rsid w:val="00581896"/>
    <w:rsid w:val="00582B66"/>
    <w:rsid w:val="0059069C"/>
    <w:rsid w:val="005D3534"/>
    <w:rsid w:val="005E05E6"/>
    <w:rsid w:val="005E1F69"/>
    <w:rsid w:val="00605C74"/>
    <w:rsid w:val="006206D8"/>
    <w:rsid w:val="0066056B"/>
    <w:rsid w:val="006A0FA3"/>
    <w:rsid w:val="006C189A"/>
    <w:rsid w:val="006C72E5"/>
    <w:rsid w:val="006D1AD8"/>
    <w:rsid w:val="0073147C"/>
    <w:rsid w:val="00747252"/>
    <w:rsid w:val="007645C3"/>
    <w:rsid w:val="00772F40"/>
    <w:rsid w:val="00783EE0"/>
    <w:rsid w:val="00792C3B"/>
    <w:rsid w:val="007C23DD"/>
    <w:rsid w:val="007C623E"/>
    <w:rsid w:val="007D2557"/>
    <w:rsid w:val="007E6DFD"/>
    <w:rsid w:val="008577F9"/>
    <w:rsid w:val="00885C46"/>
    <w:rsid w:val="008D74F4"/>
    <w:rsid w:val="008F3FEB"/>
    <w:rsid w:val="008F4E5D"/>
    <w:rsid w:val="00955736"/>
    <w:rsid w:val="00956C5A"/>
    <w:rsid w:val="00967116"/>
    <w:rsid w:val="009A722E"/>
    <w:rsid w:val="009B396F"/>
    <w:rsid w:val="009B3B97"/>
    <w:rsid w:val="009D06BE"/>
    <w:rsid w:val="00A00388"/>
    <w:rsid w:val="00A24861"/>
    <w:rsid w:val="00A252BD"/>
    <w:rsid w:val="00A47869"/>
    <w:rsid w:val="00A55B33"/>
    <w:rsid w:val="00A56C23"/>
    <w:rsid w:val="00A67861"/>
    <w:rsid w:val="00A75299"/>
    <w:rsid w:val="00AA2042"/>
    <w:rsid w:val="00AC0A01"/>
    <w:rsid w:val="00AC3B33"/>
    <w:rsid w:val="00AD2127"/>
    <w:rsid w:val="00AF4734"/>
    <w:rsid w:val="00B02557"/>
    <w:rsid w:val="00B040ED"/>
    <w:rsid w:val="00B06AA4"/>
    <w:rsid w:val="00B31F0E"/>
    <w:rsid w:val="00B47241"/>
    <w:rsid w:val="00B64BE4"/>
    <w:rsid w:val="00B860AF"/>
    <w:rsid w:val="00B920A6"/>
    <w:rsid w:val="00BA0354"/>
    <w:rsid w:val="00BA11B7"/>
    <w:rsid w:val="00BB331C"/>
    <w:rsid w:val="00C05477"/>
    <w:rsid w:val="00C10918"/>
    <w:rsid w:val="00C254E9"/>
    <w:rsid w:val="00C35B8F"/>
    <w:rsid w:val="00C40047"/>
    <w:rsid w:val="00C42922"/>
    <w:rsid w:val="00C558A5"/>
    <w:rsid w:val="00CA5790"/>
    <w:rsid w:val="00CA75F6"/>
    <w:rsid w:val="00CB385D"/>
    <w:rsid w:val="00CB3D7C"/>
    <w:rsid w:val="00CC0BE7"/>
    <w:rsid w:val="00CD7D25"/>
    <w:rsid w:val="00CF2E1B"/>
    <w:rsid w:val="00CF46E3"/>
    <w:rsid w:val="00D00DBE"/>
    <w:rsid w:val="00D205AB"/>
    <w:rsid w:val="00D41963"/>
    <w:rsid w:val="00D43D9E"/>
    <w:rsid w:val="00D651B4"/>
    <w:rsid w:val="00D84B12"/>
    <w:rsid w:val="00D92182"/>
    <w:rsid w:val="00D9609A"/>
    <w:rsid w:val="00DA2B7C"/>
    <w:rsid w:val="00DB3334"/>
    <w:rsid w:val="00DC0F23"/>
    <w:rsid w:val="00DE655B"/>
    <w:rsid w:val="00E05DD6"/>
    <w:rsid w:val="00E06357"/>
    <w:rsid w:val="00E10FC9"/>
    <w:rsid w:val="00E55C8B"/>
    <w:rsid w:val="00E5767A"/>
    <w:rsid w:val="00E7634E"/>
    <w:rsid w:val="00E8352B"/>
    <w:rsid w:val="00EE182D"/>
    <w:rsid w:val="00EE75A6"/>
    <w:rsid w:val="00EF59A1"/>
    <w:rsid w:val="00F04338"/>
    <w:rsid w:val="00F43E54"/>
    <w:rsid w:val="00F57B0B"/>
    <w:rsid w:val="00FB7810"/>
    <w:rsid w:val="00FD6518"/>
    <w:rsid w:val="00FE0BF6"/>
    <w:rsid w:val="00FF57E4"/>
    <w:rsid w:val="05E74FF5"/>
    <w:rsid w:val="13C97F12"/>
    <w:rsid w:val="332F6747"/>
    <w:rsid w:val="3D0C3DC3"/>
    <w:rsid w:val="5AB51DDE"/>
    <w:rsid w:val="611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qFormat="1" w:unhideWhenUsed="0"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jc w:val="lef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2"/>
    <w:basedOn w:val="1"/>
    <w:next w:val="1"/>
    <w:link w:val="35"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6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9"/>
    <w:basedOn w:val="1"/>
    <w:next w:val="1"/>
    <w:link w:val="37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99"/>
    <w:rPr>
      <w:color w:val="800000"/>
      <w:u w:val="single"/>
    </w:rPr>
  </w:style>
  <w:style w:type="character" w:styleId="9">
    <w:name w:val="footnote reference"/>
    <w:unhideWhenUsed/>
    <w:qFormat/>
    <w:uiPriority w:val="0"/>
    <w:rPr>
      <w:vertAlign w:val="superscript"/>
    </w:rPr>
  </w:style>
  <w:style w:type="character" w:styleId="10">
    <w:name w:val="annotation reference"/>
    <w:basedOn w:val="6"/>
    <w:semiHidden/>
    <w:unhideWhenUsed/>
    <w:uiPriority w:val="99"/>
    <w:rPr>
      <w:sz w:val="16"/>
      <w:szCs w:val="16"/>
    </w:rPr>
  </w:style>
  <w:style w:type="character" w:styleId="11">
    <w:name w:val="endnote reference"/>
    <w:semiHidden/>
    <w:qFormat/>
    <w:uiPriority w:val="0"/>
    <w:rPr>
      <w:vertAlign w:val="superscript"/>
    </w:rPr>
  </w:style>
  <w:style w:type="character" w:styleId="12">
    <w:name w:val="Hyperlink"/>
    <w:uiPriority w:val="99"/>
    <w:rPr>
      <w:color w:val="0000FF"/>
      <w:u w:val="single"/>
    </w:rPr>
  </w:style>
  <w:style w:type="character" w:styleId="13">
    <w:name w:val="page number"/>
    <w:basedOn w:val="14"/>
    <w:uiPriority w:val="0"/>
  </w:style>
  <w:style w:type="character" w:customStyle="1" w:styleId="14">
    <w:name w:val="Основной шрифт абзаца1"/>
    <w:qFormat/>
    <w:uiPriority w:val="0"/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5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Body Text 2"/>
    <w:basedOn w:val="1"/>
    <w:link w:val="78"/>
    <w:qFormat/>
    <w:uiPriority w:val="0"/>
    <w:pPr>
      <w:keepLines/>
      <w:suppressAutoHyphens w:val="0"/>
      <w:spacing w:before="120" w:after="80"/>
      <w:jc w:val="both"/>
    </w:pPr>
    <w:rPr>
      <w:szCs w:val="20"/>
    </w:rPr>
  </w:style>
  <w:style w:type="paragraph" w:styleId="18">
    <w:name w:val="endnote text"/>
    <w:basedOn w:val="1"/>
    <w:link w:val="67"/>
    <w:semiHidden/>
    <w:unhideWhenUsed/>
    <w:qFormat/>
    <w:uiPriority w:val="0"/>
    <w:rPr>
      <w:sz w:val="20"/>
      <w:szCs w:val="20"/>
    </w:rPr>
  </w:style>
  <w:style w:type="paragraph" w:styleId="19">
    <w:name w:val="annotation text"/>
    <w:basedOn w:val="1"/>
    <w:link w:val="60"/>
    <w:semiHidden/>
    <w:unhideWhenUsed/>
    <w:qFormat/>
    <w:uiPriority w:val="99"/>
    <w:rPr>
      <w:sz w:val="20"/>
      <w:szCs w:val="20"/>
    </w:rPr>
  </w:style>
  <w:style w:type="paragraph" w:styleId="20">
    <w:name w:val="annotation subject"/>
    <w:basedOn w:val="19"/>
    <w:next w:val="19"/>
    <w:link w:val="61"/>
    <w:semiHidden/>
    <w:unhideWhenUsed/>
    <w:qFormat/>
    <w:uiPriority w:val="99"/>
    <w:rPr>
      <w:b/>
      <w:bCs/>
    </w:rPr>
  </w:style>
  <w:style w:type="paragraph" w:styleId="21">
    <w:name w:val="footnote text"/>
    <w:basedOn w:val="1"/>
    <w:link w:val="57"/>
    <w:unhideWhenUsed/>
    <w:qFormat/>
    <w:uiPriority w:val="0"/>
    <w:rPr>
      <w:sz w:val="20"/>
      <w:szCs w:val="20"/>
    </w:rPr>
  </w:style>
  <w:style w:type="paragraph" w:styleId="22">
    <w:name w:val="header"/>
    <w:basedOn w:val="1"/>
    <w:link w:val="48"/>
    <w:qFormat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link w:val="41"/>
    <w:qFormat/>
    <w:uiPriority w:val="0"/>
  </w:style>
  <w:style w:type="paragraph" w:styleId="24">
    <w:name w:val="Body Text First Indent"/>
    <w:basedOn w:val="23"/>
    <w:link w:val="52"/>
    <w:qFormat/>
    <w:uiPriority w:val="99"/>
    <w:pPr>
      <w:ind w:firstLine="283"/>
    </w:pPr>
  </w:style>
  <w:style w:type="paragraph" w:styleId="25">
    <w:name w:val="List Bullet"/>
    <w:basedOn w:val="1"/>
    <w:autoRedefine/>
    <w:qFormat/>
    <w:uiPriority w:val="0"/>
    <w:pPr>
      <w:numPr>
        <w:ilvl w:val="0"/>
        <w:numId w:val="2"/>
      </w:numPr>
      <w:suppressAutoHyphens w:val="0"/>
      <w:spacing w:after="80"/>
      <w:jc w:val="center"/>
    </w:pPr>
    <w:rPr>
      <w:b/>
      <w:sz w:val="20"/>
      <w:szCs w:val="20"/>
      <w:lang w:eastAsia="ru-RU"/>
    </w:rPr>
  </w:style>
  <w:style w:type="paragraph" w:styleId="26">
    <w:name w:val="Title"/>
    <w:basedOn w:val="27"/>
    <w:next w:val="28"/>
    <w:link w:val="43"/>
    <w:qFormat/>
    <w:uiPriority w:val="10"/>
  </w:style>
  <w:style w:type="paragraph" w:customStyle="1" w:styleId="27">
    <w:name w:val="Заголовок1"/>
    <w:basedOn w:val="1"/>
    <w:next w:val="23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28">
    <w:name w:val="Subtitle"/>
    <w:basedOn w:val="27"/>
    <w:next w:val="23"/>
    <w:link w:val="42"/>
    <w:qFormat/>
    <w:uiPriority w:val="11"/>
    <w:pPr>
      <w:jc w:val="center"/>
    </w:pPr>
    <w:rPr>
      <w:i/>
      <w:iCs/>
    </w:rPr>
  </w:style>
  <w:style w:type="paragraph" w:styleId="29">
    <w:name w:val="footer"/>
    <w:basedOn w:val="1"/>
    <w:link w:val="47"/>
    <w:qFormat/>
    <w:uiPriority w:val="99"/>
    <w:pPr>
      <w:tabs>
        <w:tab w:val="center" w:pos="4677"/>
        <w:tab w:val="right" w:pos="9355"/>
      </w:tabs>
    </w:pPr>
  </w:style>
  <w:style w:type="paragraph" w:styleId="30">
    <w:name w:val="List"/>
    <w:basedOn w:val="23"/>
    <w:qFormat/>
    <w:uiPriority w:val="99"/>
    <w:rPr>
      <w:rFonts w:cs="Tahoma"/>
    </w:rPr>
  </w:style>
  <w:style w:type="paragraph" w:styleId="3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1"/>
    <w:link w:val="80"/>
    <w:semiHidden/>
    <w:unhideWhenUsed/>
    <w:qFormat/>
    <w:uiPriority w:val="99"/>
    <w:pPr>
      <w:suppressAutoHyphens w:val="0"/>
      <w:spacing w:after="120"/>
    </w:pPr>
    <w:rPr>
      <w:sz w:val="16"/>
      <w:szCs w:val="16"/>
    </w:rPr>
  </w:style>
  <w:style w:type="table" w:styleId="33">
    <w:name w:val="Table Grid"/>
    <w:basedOn w:val="7"/>
    <w:qFormat/>
    <w:uiPriority w:val="3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Заголовок 1 Знак"/>
    <w:basedOn w:val="6"/>
    <w:link w:val="2"/>
    <w:qFormat/>
    <w:uiPriority w:val="9"/>
    <w:rPr>
      <w:rFonts w:ascii="Arial" w:hAnsi="Arial" w:eastAsia="Times New Roman" w:cs="Arial"/>
      <w:b/>
      <w:bCs/>
      <w:kern w:val="1"/>
      <w:sz w:val="32"/>
      <w:szCs w:val="32"/>
      <w:lang w:eastAsia="ar-SA"/>
    </w:rPr>
  </w:style>
  <w:style w:type="character" w:customStyle="1" w:styleId="35">
    <w:name w:val="Заголовок 2 Знак"/>
    <w:basedOn w:val="6"/>
    <w:link w:val="3"/>
    <w:qFormat/>
    <w:uiPriority w:val="9"/>
    <w:rPr>
      <w:rFonts w:ascii="Arial" w:hAnsi="Arial" w:eastAsia="Times New Roman" w:cs="Arial"/>
      <w:b/>
      <w:bCs/>
      <w:i/>
      <w:iCs/>
      <w:lang w:eastAsia="ar-SA"/>
    </w:rPr>
  </w:style>
  <w:style w:type="character" w:customStyle="1" w:styleId="36">
    <w:name w:val="Заголовок 3 Знак"/>
    <w:basedOn w:val="6"/>
    <w:link w:val="4"/>
    <w:qFormat/>
    <w:uiPriority w:val="9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customStyle="1" w:styleId="37">
    <w:name w:val="Заголовок 9 Знак"/>
    <w:basedOn w:val="6"/>
    <w:link w:val="5"/>
    <w:qFormat/>
    <w:uiPriority w:val="0"/>
    <w:rPr>
      <w:rFonts w:ascii="Arial" w:hAnsi="Arial" w:eastAsia="Times New Roman" w:cs="Arial"/>
      <w:sz w:val="22"/>
      <w:szCs w:val="22"/>
      <w:lang w:eastAsia="ar-SA"/>
    </w:rPr>
  </w:style>
  <w:style w:type="character" w:customStyle="1" w:styleId="38">
    <w:name w:val="publication"/>
    <w:qFormat/>
    <w:uiPriority w:val="0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customStyle="1" w:styleId="39">
    <w:name w:val="Символ нумерации"/>
    <w:qFormat/>
    <w:uiPriority w:val="0"/>
  </w:style>
  <w:style w:type="character" w:customStyle="1" w:styleId="40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41">
    <w:name w:val="Основной текст Знак"/>
    <w:basedOn w:val="6"/>
    <w:link w:val="23"/>
    <w:qFormat/>
    <w:uiPriority w:val="0"/>
    <w:rPr>
      <w:rFonts w:eastAsia="Times New Roman"/>
      <w:sz w:val="24"/>
      <w:szCs w:val="24"/>
      <w:lang w:eastAsia="ar-SA"/>
    </w:rPr>
  </w:style>
  <w:style w:type="character" w:customStyle="1" w:styleId="42">
    <w:name w:val="Подзаголовок Знак"/>
    <w:basedOn w:val="6"/>
    <w:link w:val="28"/>
    <w:qFormat/>
    <w:uiPriority w:val="11"/>
    <w:rPr>
      <w:rFonts w:ascii="Arial" w:hAnsi="Arial" w:eastAsia="MS Mincho" w:cs="Tahoma"/>
      <w:i/>
      <w:iCs/>
      <w:lang w:eastAsia="ar-SA"/>
    </w:rPr>
  </w:style>
  <w:style w:type="character" w:customStyle="1" w:styleId="43">
    <w:name w:val="Заголовок Знак"/>
    <w:basedOn w:val="6"/>
    <w:link w:val="26"/>
    <w:qFormat/>
    <w:uiPriority w:val="10"/>
    <w:rPr>
      <w:rFonts w:ascii="Arial" w:hAnsi="Arial" w:eastAsia="MS Mincho" w:cs="Tahoma"/>
      <w:lang w:eastAsia="ar-SA"/>
    </w:rPr>
  </w:style>
  <w:style w:type="paragraph" w:customStyle="1" w:styleId="44">
    <w:name w:val="Название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45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46">
    <w:name w:val="variable"/>
    <w:basedOn w:val="1"/>
    <w:qFormat/>
    <w:uiPriority w:val="0"/>
    <w:rPr>
      <w:b/>
    </w:rPr>
  </w:style>
  <w:style w:type="character" w:customStyle="1" w:styleId="47">
    <w:name w:val="Нижний колонтитул Знак"/>
    <w:basedOn w:val="6"/>
    <w:link w:val="29"/>
    <w:qFormat/>
    <w:uiPriority w:val="99"/>
    <w:rPr>
      <w:rFonts w:eastAsia="Times New Roman"/>
      <w:sz w:val="24"/>
      <w:szCs w:val="24"/>
      <w:lang w:eastAsia="ar-SA"/>
    </w:rPr>
  </w:style>
  <w:style w:type="character" w:customStyle="1" w:styleId="48">
    <w:name w:val="Верхний колонтитул Знак"/>
    <w:basedOn w:val="6"/>
    <w:link w:val="22"/>
    <w:qFormat/>
    <w:uiPriority w:val="99"/>
    <w:rPr>
      <w:rFonts w:eastAsia="Times New Roman"/>
      <w:sz w:val="24"/>
      <w:szCs w:val="24"/>
      <w:lang w:eastAsia="ar-SA"/>
    </w:rPr>
  </w:style>
  <w:style w:type="paragraph" w:customStyle="1" w:styleId="49">
    <w:name w:val="Содержимое таблицы"/>
    <w:basedOn w:val="1"/>
    <w:qFormat/>
    <w:uiPriority w:val="0"/>
    <w:pPr>
      <w:suppressLineNumbers/>
    </w:pPr>
  </w:style>
  <w:style w:type="paragraph" w:customStyle="1" w:styleId="50">
    <w:name w:val="Заголовок таблицы"/>
    <w:basedOn w:val="49"/>
    <w:qFormat/>
    <w:uiPriority w:val="0"/>
    <w:pPr>
      <w:jc w:val="center"/>
    </w:pPr>
    <w:rPr>
      <w:b/>
      <w:bCs/>
    </w:rPr>
  </w:style>
  <w:style w:type="paragraph" w:customStyle="1" w:styleId="51">
    <w:name w:val="Горизонтальная линия"/>
    <w:basedOn w:val="1"/>
    <w:next w:val="23"/>
    <w:qFormat/>
    <w:uiPriority w:val="0"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character" w:customStyle="1" w:styleId="52">
    <w:name w:val="Красная строка Знак"/>
    <w:basedOn w:val="41"/>
    <w:link w:val="24"/>
    <w:qFormat/>
    <w:uiPriority w:val="99"/>
    <w:rPr>
      <w:rFonts w:eastAsia="Times New Roman"/>
      <w:sz w:val="24"/>
      <w:szCs w:val="24"/>
      <w:lang w:eastAsia="ar-SA"/>
    </w:rPr>
  </w:style>
  <w:style w:type="paragraph" w:customStyle="1" w:styleId="53">
    <w:name w:val="СОтступомПоЛевомуКраю"/>
    <w:basedOn w:val="1"/>
    <w:qFormat/>
    <w:uiPriority w:val="0"/>
    <w:pPr>
      <w:ind w:firstLine="705"/>
    </w:pPr>
  </w:style>
  <w:style w:type="paragraph" w:customStyle="1" w:styleId="54">
    <w:name w:val="Содержимое врезки"/>
    <w:basedOn w:val="23"/>
    <w:qFormat/>
    <w:uiPriority w:val="0"/>
  </w:style>
  <w:style w:type="paragraph" w:customStyle="1" w:styleId="55">
    <w:name w:val="Содержимое списка"/>
    <w:basedOn w:val="1"/>
    <w:qFormat/>
    <w:uiPriority w:val="0"/>
    <w:pPr>
      <w:ind w:left="567"/>
    </w:pPr>
  </w:style>
  <w:style w:type="character" w:customStyle="1" w:styleId="56">
    <w:name w:val="Текст выноски Знак"/>
    <w:basedOn w:val="6"/>
    <w:link w:val="16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  <w:style w:type="character" w:customStyle="1" w:styleId="57">
    <w:name w:val="Текст сноски Знак"/>
    <w:basedOn w:val="6"/>
    <w:link w:val="21"/>
    <w:qFormat/>
    <w:uiPriority w:val="0"/>
    <w:rPr>
      <w:rFonts w:eastAsia="Times New Roman"/>
      <w:sz w:val="20"/>
      <w:szCs w:val="20"/>
      <w:lang w:eastAsia="ar-SA"/>
    </w:rPr>
  </w:style>
  <w:style w:type="paragraph" w:customStyle="1" w:styleId="58">
    <w:name w:val="ConsPlusNormal"/>
    <w:link w:val="59"/>
    <w:qFormat/>
    <w:uiPriority w:val="0"/>
    <w:pPr>
      <w:widowControl w:val="0"/>
      <w:autoSpaceDE w:val="0"/>
      <w:autoSpaceDN w:val="0"/>
      <w:adjustRightInd w:val="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9">
    <w:name w:val="ConsPlusNormal Знак"/>
    <w:link w:val="58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60">
    <w:name w:val="Текст примечания Знак"/>
    <w:basedOn w:val="6"/>
    <w:link w:val="19"/>
    <w:semiHidden/>
    <w:qFormat/>
    <w:uiPriority w:val="99"/>
    <w:rPr>
      <w:rFonts w:eastAsia="Times New Roman"/>
      <w:sz w:val="20"/>
      <w:szCs w:val="20"/>
      <w:lang w:eastAsia="ar-SA"/>
    </w:rPr>
  </w:style>
  <w:style w:type="character" w:customStyle="1" w:styleId="61">
    <w:name w:val="Тема примечания Знак"/>
    <w:basedOn w:val="60"/>
    <w:link w:val="20"/>
    <w:semiHidden/>
    <w:qFormat/>
    <w:uiPriority w:val="99"/>
    <w:rPr>
      <w:rFonts w:eastAsia="Times New Roman"/>
      <w:b/>
      <w:bCs/>
      <w:sz w:val="20"/>
      <w:szCs w:val="20"/>
      <w:lang w:eastAsia="ar-SA"/>
    </w:rPr>
  </w:style>
  <w:style w:type="paragraph" w:customStyle="1" w:styleId="62">
    <w:name w:val="Цитата 21"/>
    <w:basedOn w:val="1"/>
    <w:next w:val="1"/>
    <w:link w:val="63"/>
    <w:qFormat/>
    <w:uiPriority w:val="0"/>
    <w:pPr>
      <w:suppressAutoHyphens w:val="0"/>
      <w:jc w:val="both"/>
    </w:pPr>
    <w:rPr>
      <w:rFonts w:ascii="Calibri" w:hAnsi="Calibri"/>
      <w:i/>
    </w:rPr>
  </w:style>
  <w:style w:type="character" w:customStyle="1" w:styleId="63">
    <w:name w:val="Quote Char"/>
    <w:link w:val="62"/>
    <w:qFormat/>
    <w:uiPriority w:val="0"/>
    <w:rPr>
      <w:rFonts w:ascii="Calibri" w:hAnsi="Calibri" w:eastAsia="Times New Roman"/>
      <w:i/>
      <w:sz w:val="24"/>
      <w:szCs w:val="24"/>
      <w:lang w:eastAsia="ar-SA"/>
    </w:rPr>
  </w:style>
  <w:style w:type="paragraph" w:styleId="64">
    <w:name w:val="List Paragraph"/>
    <w:basedOn w:val="1"/>
    <w:link w:val="65"/>
    <w:qFormat/>
    <w:uiPriority w:val="34"/>
    <w:pPr>
      <w:suppressAutoHyphens w:val="0"/>
      <w:ind w:left="708"/>
      <w:jc w:val="both"/>
    </w:pPr>
    <w:rPr>
      <w:lang w:eastAsia="en-US"/>
    </w:rPr>
  </w:style>
  <w:style w:type="character" w:customStyle="1" w:styleId="65">
    <w:name w:val="Абзац списка Знак"/>
    <w:link w:val="64"/>
    <w:qFormat/>
    <w:uiPriority w:val="34"/>
    <w:rPr>
      <w:rFonts w:eastAsia="Times New Roman"/>
      <w:sz w:val="24"/>
      <w:szCs w:val="24"/>
    </w:rPr>
  </w:style>
  <w:style w:type="paragraph" w:customStyle="1" w:styleId="66">
    <w:name w:val="ConsNonformat"/>
    <w:qFormat/>
    <w:uiPriority w:val="0"/>
    <w:pPr>
      <w:autoSpaceDE w:val="0"/>
      <w:autoSpaceDN w:val="0"/>
      <w:adjustRightInd w:val="0"/>
      <w:jc w:val="left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67">
    <w:name w:val="Текст концевой сноски Знак"/>
    <w:basedOn w:val="6"/>
    <w:link w:val="18"/>
    <w:semiHidden/>
    <w:qFormat/>
    <w:uiPriority w:val="0"/>
    <w:rPr>
      <w:rFonts w:eastAsia="Times New Roman"/>
      <w:sz w:val="20"/>
      <w:szCs w:val="20"/>
      <w:lang w:eastAsia="ar-SA"/>
    </w:rPr>
  </w:style>
  <w:style w:type="paragraph" w:customStyle="1" w:styleId="68">
    <w:name w:val="228bf8a64b8551e1msonormal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9">
    <w:name w:val="wmi-callto"/>
    <w:basedOn w:val="6"/>
    <w:qFormat/>
    <w:uiPriority w:val="0"/>
  </w:style>
  <w:style w:type="character" w:customStyle="1" w:styleId="70">
    <w:name w:val="js-extracted-address"/>
    <w:basedOn w:val="6"/>
    <w:qFormat/>
    <w:uiPriority w:val="0"/>
  </w:style>
  <w:style w:type="character" w:customStyle="1" w:styleId="71">
    <w:name w:val="mail-message-map-nobreak"/>
    <w:basedOn w:val="6"/>
    <w:qFormat/>
    <w:uiPriority w:val="0"/>
  </w:style>
  <w:style w:type="paragraph" w:customStyle="1" w:styleId="72">
    <w:name w:val="Контракт-раздел"/>
    <w:basedOn w:val="1"/>
    <w:next w:val="73"/>
    <w:qFormat/>
    <w:uiPriority w:val="0"/>
    <w:pPr>
      <w:keepNext/>
      <w:numPr>
        <w:ilvl w:val="0"/>
        <w:numId w:val="3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lang w:eastAsia="ru-RU"/>
    </w:rPr>
  </w:style>
  <w:style w:type="paragraph" w:customStyle="1" w:styleId="73">
    <w:name w:val="Контракт-пункт"/>
    <w:basedOn w:val="1"/>
    <w:qFormat/>
    <w:uiPriority w:val="0"/>
    <w:pPr>
      <w:numPr>
        <w:ilvl w:val="1"/>
        <w:numId w:val="3"/>
      </w:numPr>
      <w:suppressAutoHyphens w:val="0"/>
      <w:jc w:val="both"/>
    </w:pPr>
    <w:rPr>
      <w:lang w:eastAsia="ru-RU"/>
    </w:rPr>
  </w:style>
  <w:style w:type="paragraph" w:customStyle="1" w:styleId="74">
    <w:name w:val="Контракт-подпункт"/>
    <w:basedOn w:val="1"/>
    <w:qFormat/>
    <w:uiPriority w:val="0"/>
    <w:pPr>
      <w:numPr>
        <w:ilvl w:val="2"/>
        <w:numId w:val="3"/>
      </w:numPr>
      <w:suppressAutoHyphens w:val="0"/>
      <w:jc w:val="both"/>
    </w:pPr>
    <w:rPr>
      <w:lang w:eastAsia="ru-RU"/>
    </w:rPr>
  </w:style>
  <w:style w:type="paragraph" w:customStyle="1" w:styleId="75">
    <w:name w:val="Контракт-подподпункт"/>
    <w:basedOn w:val="1"/>
    <w:qFormat/>
    <w:uiPriority w:val="0"/>
    <w:pPr>
      <w:numPr>
        <w:ilvl w:val="3"/>
        <w:numId w:val="3"/>
      </w:numPr>
      <w:suppressAutoHyphens w:val="0"/>
      <w:jc w:val="both"/>
    </w:pPr>
    <w:rPr>
      <w:lang w:eastAsia="ru-RU"/>
    </w:rPr>
  </w:style>
  <w:style w:type="paragraph" w:customStyle="1" w:styleId="76">
    <w:name w:val="Пункт б/н"/>
    <w:basedOn w:val="1"/>
    <w:semiHidden/>
    <w:qFormat/>
    <w:uiPriority w:val="0"/>
    <w:pPr>
      <w:tabs>
        <w:tab w:val="left" w:pos="1134"/>
      </w:tabs>
      <w:suppressAutoHyphens w:val="0"/>
      <w:ind w:firstLine="567"/>
      <w:jc w:val="both"/>
    </w:pPr>
    <w:rPr>
      <w:lang w:eastAsia="ru-RU"/>
    </w:rPr>
  </w:style>
  <w:style w:type="paragraph" w:customStyle="1" w:styleId="77">
    <w:name w:val="Основной текст 21"/>
    <w:basedOn w:val="1"/>
    <w:qFormat/>
    <w:uiPriority w:val="0"/>
    <w:pPr>
      <w:widowControl w:val="0"/>
      <w:suppressAutoHyphens w:val="0"/>
      <w:spacing w:after="80"/>
      <w:jc w:val="both"/>
    </w:pPr>
    <w:rPr>
      <w:rFonts w:cs="Arial"/>
      <w:szCs w:val="18"/>
      <w:lang w:eastAsia="ru-RU"/>
    </w:rPr>
  </w:style>
  <w:style w:type="character" w:customStyle="1" w:styleId="78">
    <w:name w:val="Основной текст 2 Знак"/>
    <w:basedOn w:val="6"/>
    <w:link w:val="17"/>
    <w:qFormat/>
    <w:uiPriority w:val="0"/>
    <w:rPr>
      <w:rFonts w:eastAsia="Times New Roman"/>
      <w:sz w:val="24"/>
      <w:szCs w:val="20"/>
    </w:rPr>
  </w:style>
  <w:style w:type="paragraph" w:customStyle="1" w:styleId="79">
    <w:name w:val="Стиль16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character" w:customStyle="1" w:styleId="80">
    <w:name w:val="Основной текст 3 Знак"/>
    <w:basedOn w:val="6"/>
    <w:link w:val="32"/>
    <w:semiHidden/>
    <w:qFormat/>
    <w:uiPriority w:val="99"/>
    <w:rPr>
      <w:rFonts w:eastAsia="Times New Roman"/>
      <w:sz w:val="16"/>
      <w:szCs w:val="16"/>
    </w:rPr>
  </w:style>
  <w:style w:type="paragraph" w:customStyle="1" w:styleId="81">
    <w:name w:val="Стиль17"/>
    <w:basedOn w:val="28"/>
    <w:qFormat/>
    <w:uiPriority w:val="0"/>
    <w:pPr>
      <w:keepNext w:val="0"/>
      <w:suppressAutoHyphens w:val="0"/>
      <w:spacing w:before="0" w:after="60"/>
      <w:jc w:val="left"/>
      <w:outlineLvl w:val="1"/>
    </w:pPr>
    <w:rPr>
      <w:rFonts w:ascii="Times New Roman" w:hAnsi="Times New Roman" w:eastAsia="Times New Roman" w:cs="Arial"/>
      <w:b/>
      <w:i w:val="0"/>
      <w:iCs w:val="0"/>
      <w:sz w:val="20"/>
      <w:szCs w:val="24"/>
    </w:rPr>
  </w:style>
  <w:style w:type="paragraph" w:customStyle="1" w:styleId="82">
    <w:name w:val="Стиль18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paragraph" w:customStyle="1" w:styleId="83">
    <w:name w:val="Стиль20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paragraph" w:customStyle="1" w:styleId="84">
    <w:name w:val="Стиль28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paragraph" w:customStyle="1" w:styleId="85">
    <w:name w:val="ConsNormal"/>
    <w:qFormat/>
    <w:uiPriority w:val="0"/>
    <w:pPr>
      <w:widowControl w:val="0"/>
      <w:snapToGrid w:val="0"/>
      <w:ind w:firstLine="720"/>
      <w:jc w:val="left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86">
    <w:name w:val="Default"/>
    <w:qFormat/>
    <w:uiPriority w:val="0"/>
    <w:pPr>
      <w:autoSpaceDE w:val="0"/>
      <w:autoSpaceDN w:val="0"/>
      <w:adjustRightInd w:val="0"/>
      <w:jc w:val="left"/>
    </w:pPr>
    <w:rPr>
      <w:rFonts w:ascii="Arial" w:hAnsi="Arial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87">
    <w:name w:val="ConsPlusCell"/>
    <w:qFormat/>
    <w:uiPriority w:val="0"/>
    <w:pPr>
      <w:widowControl w:val="0"/>
      <w:suppressAutoHyphens/>
      <w:autoSpaceDE w:val="0"/>
      <w:autoSpaceDN w:val="0"/>
      <w:jc w:val="left"/>
      <w:textAlignment w:val="baseline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8">
    <w:name w:val="Цветной список — акцент 11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ACDE3-E741-4B9A-A5A2-4AC5734A5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1126</Words>
  <Characters>6421</Characters>
  <Lines>53</Lines>
  <Paragraphs>15</Paragraphs>
  <TotalTime>0</TotalTime>
  <ScaleCrop>false</ScaleCrop>
  <LinksUpToDate>false</LinksUpToDate>
  <CharactersWithSpaces>7532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2024-03-22T09:02:00Z</dcterms:created>
  <dc:creator>Гаров Евгений Михайлович</dc:creator>
  <cp:lastModifiedBy>User</cp:lastModifiedBy>
  <cp:lastPrinted>2023-06-01T08:52:00Z</cp:lastPrinted>
  <dcterms:modified xsi:type="dcterms:W3CDTF">2024-10-24T12:01:18Z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244C4D8DDBAD43C5B87F24A5783A691F_13</vt:lpwstr>
  </property>
</Properties>
</file>