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582475" w14:textId="2884A34A" w:rsidR="00A85799" w:rsidRPr="00D85F24" w:rsidRDefault="0081201C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osenkevich</w:t>
            </w:r>
            <w:proofErr w:type="spellEnd"/>
            <w:r w:rsidR="00A85799" w:rsidRPr="00A85799">
              <w:t>@</w:t>
            </w:r>
            <w:proofErr w:type="spellStart"/>
            <w:r w:rsidR="00A85799">
              <w:rPr>
                <w:lang w:val="en-US"/>
              </w:rPr>
              <w:t>inno</w:t>
            </w:r>
            <w:proofErr w:type="spellEnd"/>
            <w:r w:rsidR="00A85799" w:rsidRPr="00D85F24">
              <w:t>.</w:t>
            </w:r>
            <w:r w:rsidR="00A85799"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3448BDDC" w:rsidR="00E85F88" w:rsidRPr="0017399D" w:rsidRDefault="000648C2" w:rsidP="00AF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5AE4">
              <w:rPr>
                <w:rFonts w:cs="Arial"/>
                <w:b/>
                <w:sz w:val="24"/>
                <w:szCs w:val="24"/>
              </w:rPr>
              <w:t xml:space="preserve">Запрос цен на Оказание услуг </w:t>
            </w:r>
            <w:proofErr w:type="spellStart"/>
            <w:r w:rsidRPr="004235F6">
              <w:rPr>
                <w:rFonts w:cs="Arial"/>
                <w:b/>
                <w:sz w:val="24"/>
                <w:szCs w:val="24"/>
              </w:rPr>
              <w:t>хаус</w:t>
            </w:r>
            <w:proofErr w:type="spellEnd"/>
            <w:r w:rsidRPr="004235F6">
              <w:rPr>
                <w:rFonts w:cs="Arial"/>
                <w:b/>
                <w:sz w:val="24"/>
                <w:szCs w:val="24"/>
              </w:rPr>
              <w:t>-мастера</w:t>
            </w:r>
            <w:r>
              <w:rPr>
                <w:rFonts w:cs="Arial"/>
                <w:b/>
                <w:sz w:val="24"/>
                <w:szCs w:val="24"/>
              </w:rPr>
              <w:t xml:space="preserve"> по заявкам офисов</w:t>
            </w:r>
            <w:r w:rsidRPr="004235F6">
              <w:rPr>
                <w:rFonts w:cs="Arial"/>
                <w:b/>
                <w:sz w:val="24"/>
                <w:szCs w:val="24"/>
              </w:rPr>
              <w:t>, расположенн</w:t>
            </w:r>
            <w:r>
              <w:rPr>
                <w:rFonts w:cs="Arial"/>
                <w:b/>
                <w:sz w:val="24"/>
                <w:szCs w:val="24"/>
              </w:rPr>
              <w:t>ых</w:t>
            </w:r>
            <w:r w:rsidRPr="004235F6">
              <w:rPr>
                <w:rFonts w:cs="Arial"/>
                <w:b/>
                <w:sz w:val="24"/>
                <w:szCs w:val="24"/>
              </w:rPr>
              <w:t xml:space="preserve"> по адресам </w:t>
            </w:r>
            <w:r>
              <w:rPr>
                <w:rFonts w:cs="Arial"/>
                <w:b/>
                <w:sz w:val="24"/>
                <w:szCs w:val="24"/>
              </w:rPr>
              <w:t xml:space="preserve">г. Москвы, Санкт -Петербурга и других </w:t>
            </w:r>
            <w:r w:rsidRPr="004235F6">
              <w:rPr>
                <w:rFonts w:cs="Arial"/>
                <w:b/>
                <w:sz w:val="24"/>
                <w:szCs w:val="24"/>
              </w:rPr>
              <w:t>регионов РФ</w:t>
            </w:r>
            <w:r w:rsidR="0017399D" w:rsidRPr="0017399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399D">
              <w:rPr>
                <w:rFonts w:cs="Arial"/>
                <w:b/>
                <w:sz w:val="24"/>
                <w:szCs w:val="24"/>
              </w:rPr>
              <w:t>согласно техническому заданию</w:t>
            </w:r>
            <w:bookmarkStart w:id="0" w:name="_GoBack"/>
            <w:bookmarkEnd w:id="0"/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 xml:space="preserve">В случае несоответствия Участника хотя бы одному </w:t>
            </w:r>
            <w:r w:rsidR="008E6073" w:rsidRPr="008264DF">
              <w:lastRenderedPageBreak/>
              <w:t>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64DC6FAA" w14:textId="25C90C54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2ECC0A2C" w14:textId="77777777" w:rsidR="00B803ED" w:rsidRDefault="00B803ED" w:rsidP="005A188E">
      <w:pPr>
        <w:rPr>
          <w:rFonts w:cs="Times New Roman"/>
          <w:b/>
          <w:szCs w:val="20"/>
        </w:rPr>
      </w:pPr>
    </w:p>
    <w:p w14:paraId="1960C284" w14:textId="35E50A6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1</w:t>
      </w:r>
    </w:p>
    <w:p w14:paraId="6422E4E5" w14:textId="0B0AD44E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(Приложено отдельным файлом)</w:t>
      </w: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63E7B474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B02ACCB" w14:textId="40ABBBB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74E3341" w14:textId="2E1106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E26C3B6" w14:textId="102F156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953F22B" w14:textId="247E43D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AFDA8C9" w14:textId="1040EF6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62D07BB" w14:textId="288E4516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4FD20A6" w14:textId="2DDA8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2A06BA0" w14:textId="4F4DB97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3D19426" w14:textId="4A2D684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03BE613" w14:textId="14F612E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F3F59D8" w14:textId="7C669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5E26271" w14:textId="58E7469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B8B0763" w14:textId="5FA72B3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B31DD69" w14:textId="3307C55C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C2B2773" w14:textId="2E95362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D4A512D" w14:textId="1719063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611124D" w14:textId="47F7DA0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A743861" w14:textId="27A3A20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8CAB22" w14:textId="6E8E0C1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A72DF44" w14:textId="03EC18EF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3854B83" w14:textId="7BAEAD6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73EB622" w14:textId="3BDE2A44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5084C8B" w14:textId="3A6D422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C904504" w14:textId="15B4525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1C6B92E" w14:textId="7777777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408E1A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3C5C85E" w14:textId="25A48C00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49BAB46" w14:textId="53067D0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6BB19" w14:textId="26749436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166A532" w14:textId="39DC573D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550BA476" w14:textId="3AB132E3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3AF9F725" w14:textId="77777777" w:rsidR="00D01453" w:rsidRDefault="00D01453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355468B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229B031D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7A46AB81" w14:textId="59801B0F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B3763B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7A470F0" w14:textId="77777777" w:rsidR="00B3763B" w:rsidRDefault="00B3763B" w:rsidP="00B60140">
      <w:pPr>
        <w:rPr>
          <w:rFonts w:cs="Times New Roman"/>
          <w:b/>
          <w:szCs w:val="20"/>
        </w:rPr>
      </w:pPr>
    </w:p>
    <w:p w14:paraId="5A3CB5AF" w14:textId="603A4CE2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86578" w:rsidRPr="00CF7A72" w14:paraId="5F26C775" w14:textId="77777777" w:rsidTr="00677819">
        <w:tc>
          <w:tcPr>
            <w:tcW w:w="733" w:type="dxa"/>
            <w:shd w:val="clear" w:color="auto" w:fill="auto"/>
            <w:vAlign w:val="center"/>
          </w:tcPr>
          <w:p w14:paraId="79F30D22" w14:textId="77777777" w:rsidR="00F86578" w:rsidRPr="00CF7A72" w:rsidRDefault="00F86578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7C4BB7C6" w14:textId="270CBF8D" w:rsidR="00F86578" w:rsidRPr="00F86578" w:rsidRDefault="00F86578" w:rsidP="00F86578">
            <w:pPr>
              <w:spacing w:after="0"/>
              <w:rPr>
                <w:rFonts w:cs="Times New Roman"/>
                <w:szCs w:val="20"/>
              </w:rPr>
            </w:pPr>
            <w:r w:rsidRPr="00F86578">
              <w:rPr>
                <w:rFonts w:cs="Times New Roman"/>
                <w:szCs w:val="20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2 млн. руб. за 1 год.</w:t>
            </w:r>
          </w:p>
        </w:tc>
        <w:tc>
          <w:tcPr>
            <w:tcW w:w="1804" w:type="dxa"/>
            <w:shd w:val="clear" w:color="auto" w:fill="auto"/>
          </w:tcPr>
          <w:p w14:paraId="7FD632D1" w14:textId="77777777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76880EC" w14:textId="2F1D3D3F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  <w:r w:rsidRPr="00F86578">
              <w:rPr>
                <w:rFonts w:cs="Times New Roman"/>
                <w:szCs w:val="20"/>
              </w:rPr>
              <w:t>Приложить баланс</w:t>
            </w:r>
          </w:p>
        </w:tc>
      </w:tr>
      <w:tr w:rsidR="00F86578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F86578" w:rsidRPr="00CF7A72" w:rsidRDefault="00F86578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097AA4F9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  <w:r w:rsidRPr="009172AA"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  <w:r w:rsidRPr="009172AA">
              <w:rPr>
                <w:rFonts w:cs="Times New Roman"/>
                <w:szCs w:val="20"/>
              </w:rPr>
              <w:tab/>
            </w:r>
            <w:r w:rsidRPr="009172AA">
              <w:rPr>
                <w:rFonts w:cs="Times New Roman"/>
                <w:szCs w:val="20"/>
              </w:rPr>
              <w:tab/>
              <w:t>Заполнение настоящей формы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41179037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  </w:t>
            </w:r>
          </w:p>
        </w:tc>
      </w:tr>
      <w:tr w:rsidR="00F86578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2A84D86B" w:rsidR="00F86578" w:rsidRPr="00CF7A72" w:rsidRDefault="00F86578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78DF4002" w:rsidR="00F86578" w:rsidRPr="00CF7A72" w:rsidRDefault="00AD2595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</w:t>
            </w:r>
            <w:proofErr w:type="gramStart"/>
            <w:r>
              <w:rPr>
                <w:rFonts w:cs="Times New Roman"/>
                <w:szCs w:val="20"/>
              </w:rPr>
              <w:t>п</w:t>
            </w:r>
            <w:r w:rsidR="00F86578">
              <w:rPr>
                <w:rFonts w:cs="Times New Roman"/>
                <w:szCs w:val="20"/>
              </w:rPr>
              <w:t>одтвер</w:t>
            </w:r>
            <w:r>
              <w:rPr>
                <w:rFonts w:cs="Times New Roman"/>
                <w:szCs w:val="20"/>
              </w:rPr>
              <w:t xml:space="preserve">ждает </w:t>
            </w:r>
            <w:r w:rsidR="00F86578">
              <w:rPr>
                <w:rFonts w:cs="Times New Roman"/>
                <w:szCs w:val="20"/>
              </w:rPr>
              <w:t xml:space="preserve"> готовность</w:t>
            </w:r>
            <w:proofErr w:type="gramEnd"/>
            <w:r w:rsidR="00F86578">
              <w:rPr>
                <w:rFonts w:cs="Times New Roman"/>
                <w:szCs w:val="20"/>
              </w:rPr>
              <w:t xml:space="preserve"> </w:t>
            </w:r>
            <w:r w:rsidR="00F86578" w:rsidRPr="00F86578">
              <w:rPr>
                <w:rFonts w:cs="Times New Roman"/>
                <w:szCs w:val="20"/>
              </w:rPr>
              <w:t xml:space="preserve">представить </w:t>
            </w:r>
            <w:r>
              <w:rPr>
                <w:rFonts w:cs="Times New Roman"/>
                <w:szCs w:val="20"/>
              </w:rPr>
              <w:t xml:space="preserve">по запросу </w:t>
            </w:r>
            <w:r w:rsidR="00F86578" w:rsidRPr="00F86578">
              <w:rPr>
                <w:rFonts w:cs="Times New Roman"/>
                <w:szCs w:val="20"/>
              </w:rPr>
              <w:t>Заказчик</w:t>
            </w:r>
            <w:r>
              <w:rPr>
                <w:rFonts w:cs="Times New Roman"/>
                <w:szCs w:val="20"/>
              </w:rPr>
              <w:t xml:space="preserve">а </w:t>
            </w:r>
            <w:r w:rsidR="00F86578" w:rsidRPr="00F86578">
              <w:rPr>
                <w:rFonts w:cs="Times New Roman"/>
                <w:szCs w:val="20"/>
              </w:rPr>
              <w:t xml:space="preserve">сведения по количественному и квалификационному составу работников, планируемых для оказания </w:t>
            </w:r>
            <w:r>
              <w:rPr>
                <w:rFonts w:cs="Times New Roman"/>
                <w:szCs w:val="20"/>
              </w:rPr>
              <w:t>услуг на объекте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71FB453D" w:rsidR="00F86578" w:rsidRPr="00CF7A72" w:rsidRDefault="00F86578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Приложить подписанное приложен</w:t>
            </w:r>
            <w:r w:rsidR="00AD2595">
              <w:rPr>
                <w:rFonts w:cs="Times New Roman"/>
                <w:szCs w:val="20"/>
              </w:rPr>
              <w:t xml:space="preserve">ие 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</w:tr>
      <w:tr w:rsidR="00AD2595" w:rsidRPr="00CF7A72" w14:paraId="021D9F6A" w14:textId="77777777" w:rsidTr="00273572">
        <w:tc>
          <w:tcPr>
            <w:tcW w:w="733" w:type="dxa"/>
            <w:shd w:val="clear" w:color="auto" w:fill="auto"/>
            <w:vAlign w:val="center"/>
          </w:tcPr>
          <w:p w14:paraId="6FA73129" w14:textId="71CC6E0F" w:rsidR="00AD2595" w:rsidRDefault="00AD2595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0DB6192" w14:textId="364D91CB" w:rsidR="00AD2595" w:rsidRPr="00AD2595" w:rsidRDefault="00AD2595" w:rsidP="00AD2595">
            <w:pPr>
              <w:tabs>
                <w:tab w:val="left" w:pos="993"/>
              </w:tabs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</w:t>
            </w:r>
            <w:proofErr w:type="gramStart"/>
            <w:r>
              <w:rPr>
                <w:rFonts w:cs="Times New Roman"/>
                <w:szCs w:val="20"/>
              </w:rPr>
              <w:t>подтверждает  готовность</w:t>
            </w:r>
            <w:proofErr w:type="gramEnd"/>
            <w:r>
              <w:rPr>
                <w:rFonts w:cs="Times New Roman"/>
                <w:szCs w:val="20"/>
              </w:rPr>
              <w:t xml:space="preserve"> </w:t>
            </w:r>
            <w:r w:rsidRPr="00AD2595">
              <w:rPr>
                <w:rFonts w:cs="Times New Roman"/>
                <w:szCs w:val="20"/>
              </w:rPr>
              <w:t>нести ответственность</w:t>
            </w:r>
            <w:r w:rsidRPr="00AD2595">
              <w:rPr>
                <w:rFonts w:cs="Times New Roman"/>
                <w:szCs w:val="20"/>
              </w:rPr>
              <w:t xml:space="preserve"> в период оказания услуг за сохранность существующих строительных конструкций, всех инженерных коммуникаций, расположенных в периметре оказания услуг, таких как сети канализации, водоснабжения, отопления, телефонии, компьютерных сетей, электропитание и освещение, охранно-пожарная сигнализация и т.д. </w:t>
            </w:r>
          </w:p>
          <w:p w14:paraId="7C15EEF2" w14:textId="77777777" w:rsidR="00AD2595" w:rsidRDefault="00AD2595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07CC042" w14:textId="77777777" w:rsidR="00AD2595" w:rsidRPr="00CF7A72" w:rsidRDefault="00AD2595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E89809" w14:textId="065479AC" w:rsidR="00AD2595" w:rsidRDefault="00AD2595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  </w:t>
            </w:r>
          </w:p>
        </w:tc>
      </w:tr>
      <w:tr w:rsidR="00AD2595" w:rsidRPr="00CF7A72" w14:paraId="6FB4880C" w14:textId="77777777" w:rsidTr="00273572">
        <w:tc>
          <w:tcPr>
            <w:tcW w:w="733" w:type="dxa"/>
            <w:shd w:val="clear" w:color="auto" w:fill="auto"/>
            <w:vAlign w:val="center"/>
          </w:tcPr>
          <w:p w14:paraId="33039C53" w14:textId="694BD6DD" w:rsidR="00AD2595" w:rsidRDefault="00AD2595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5D6CFED" w14:textId="66BA7986" w:rsidR="00AD2595" w:rsidRPr="00AD2595" w:rsidRDefault="00AD2595" w:rsidP="00AD2595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подтверждает </w:t>
            </w:r>
            <w:r>
              <w:rPr>
                <w:rFonts w:cs="Times New Roman"/>
                <w:szCs w:val="20"/>
              </w:rPr>
              <w:t xml:space="preserve">свою </w:t>
            </w:r>
            <w:r>
              <w:rPr>
                <w:rFonts w:cs="Times New Roman"/>
                <w:szCs w:val="20"/>
              </w:rPr>
              <w:t xml:space="preserve">готовность </w:t>
            </w:r>
            <w:proofErr w:type="gramStart"/>
            <w:r>
              <w:rPr>
                <w:rFonts w:cs="Times New Roman"/>
                <w:szCs w:val="20"/>
              </w:rPr>
              <w:t>подтвердить</w:t>
            </w:r>
            <w:proofErr w:type="gramEnd"/>
            <w:r>
              <w:rPr>
                <w:rFonts w:cs="Times New Roman"/>
                <w:szCs w:val="20"/>
              </w:rPr>
              <w:t xml:space="preserve"> </w:t>
            </w:r>
            <w:r w:rsidRPr="00AD2595">
              <w:rPr>
                <w:rFonts w:cs="Times New Roman"/>
                <w:szCs w:val="20"/>
              </w:rPr>
              <w:t>что его р</w:t>
            </w:r>
            <w:r w:rsidRPr="00AD2595">
              <w:rPr>
                <w:rFonts w:cs="Times New Roman"/>
                <w:szCs w:val="20"/>
              </w:rPr>
              <w:t>аботники не име</w:t>
            </w:r>
            <w:r>
              <w:rPr>
                <w:rFonts w:cs="Times New Roman"/>
                <w:szCs w:val="20"/>
              </w:rPr>
              <w:t>ют</w:t>
            </w:r>
            <w:r w:rsidRPr="00AD2595">
              <w:rPr>
                <w:rFonts w:cs="Times New Roman"/>
                <w:szCs w:val="20"/>
              </w:rPr>
              <w:t xml:space="preserve"> судимости, не находиться под следствием или судом и не иметь, в соответствии с Законодательством Российской Федерации, каких-либо ограничений к деятельности. Работники должны предоставить разрешение на обработку своих персональных данных и пройти предварительное согласование с Заказчиком. Информация о работниках предоставляется в срок не позднее, чем за 7 рабочих дней до начала оказания услуг. </w:t>
            </w:r>
          </w:p>
          <w:p w14:paraId="2C90D7DF" w14:textId="77777777" w:rsidR="00AD2595" w:rsidRPr="00AD2595" w:rsidRDefault="00AD2595" w:rsidP="00AD2595">
            <w:pPr>
              <w:tabs>
                <w:tab w:val="left" w:pos="993"/>
              </w:tabs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BB656EF" w14:textId="77777777" w:rsidR="00AD2595" w:rsidRPr="00CF7A72" w:rsidRDefault="00AD2595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31EF42" w14:textId="0AAEFA79" w:rsidR="00AD2595" w:rsidRDefault="00AD2595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  </w:t>
            </w:r>
          </w:p>
        </w:tc>
      </w:tr>
      <w:tr w:rsidR="00AD2595" w:rsidRPr="00CF7A72" w14:paraId="33FC6C63" w14:textId="77777777" w:rsidTr="00273572">
        <w:tc>
          <w:tcPr>
            <w:tcW w:w="733" w:type="dxa"/>
            <w:shd w:val="clear" w:color="auto" w:fill="auto"/>
            <w:vAlign w:val="center"/>
          </w:tcPr>
          <w:p w14:paraId="3BC3A889" w14:textId="1D7EC6C3" w:rsidR="00AD2595" w:rsidRDefault="00AD2595" w:rsidP="00F86578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6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C25523B" w14:textId="6DC54B3E" w:rsidR="00AD2595" w:rsidRPr="00AD2595" w:rsidRDefault="00AD2595" w:rsidP="00AD2595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готовность предоставить замену работнику</w:t>
            </w:r>
            <w:r w:rsidRPr="00AD2595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 xml:space="preserve"> не согласованному </w:t>
            </w:r>
            <w:proofErr w:type="gramStart"/>
            <w:r>
              <w:rPr>
                <w:rFonts w:cs="Times New Roman"/>
                <w:szCs w:val="20"/>
              </w:rPr>
              <w:t>Заказчиком  не</w:t>
            </w:r>
            <w:proofErr w:type="gramEnd"/>
            <w:r>
              <w:rPr>
                <w:rFonts w:cs="Times New Roman"/>
                <w:szCs w:val="20"/>
              </w:rPr>
              <w:t xml:space="preserve"> более чем в 2х дневный срок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ED07FB2" w14:textId="77777777" w:rsidR="00AD2595" w:rsidRPr="00CF7A72" w:rsidRDefault="00AD2595" w:rsidP="00F86578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BF9679" w14:textId="0E36D9BD" w:rsidR="00AD2595" w:rsidRDefault="00AD2595" w:rsidP="00F86578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  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8"/>
      <w:footerReference w:type="default" r:id="rId9"/>
      <w:headerReference w:type="firs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17399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648C2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7399D"/>
    <w:rsid w:val="001940AA"/>
    <w:rsid w:val="001972E9"/>
    <w:rsid w:val="001B65D1"/>
    <w:rsid w:val="001C715F"/>
    <w:rsid w:val="001D0638"/>
    <w:rsid w:val="001D7413"/>
    <w:rsid w:val="001F3CA7"/>
    <w:rsid w:val="001F66A2"/>
    <w:rsid w:val="001F78C5"/>
    <w:rsid w:val="00217A8D"/>
    <w:rsid w:val="00232980"/>
    <w:rsid w:val="00233B7C"/>
    <w:rsid w:val="002505EA"/>
    <w:rsid w:val="00262D9A"/>
    <w:rsid w:val="00273572"/>
    <w:rsid w:val="002A5840"/>
    <w:rsid w:val="002B1AB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083D"/>
    <w:rsid w:val="00453C5A"/>
    <w:rsid w:val="004653B0"/>
    <w:rsid w:val="004758FC"/>
    <w:rsid w:val="00475B8A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C2A"/>
    <w:rsid w:val="006B59E2"/>
    <w:rsid w:val="006B6C02"/>
    <w:rsid w:val="006D1677"/>
    <w:rsid w:val="006E3DBA"/>
    <w:rsid w:val="006E57BF"/>
    <w:rsid w:val="0071569D"/>
    <w:rsid w:val="007225C2"/>
    <w:rsid w:val="007256D9"/>
    <w:rsid w:val="00730B6B"/>
    <w:rsid w:val="007613C2"/>
    <w:rsid w:val="00762B38"/>
    <w:rsid w:val="007742C9"/>
    <w:rsid w:val="00781FF7"/>
    <w:rsid w:val="00794F46"/>
    <w:rsid w:val="007B2F75"/>
    <w:rsid w:val="007C4388"/>
    <w:rsid w:val="007E29F3"/>
    <w:rsid w:val="0080688A"/>
    <w:rsid w:val="00807E44"/>
    <w:rsid w:val="00811531"/>
    <w:rsid w:val="0081201C"/>
    <w:rsid w:val="00814BC0"/>
    <w:rsid w:val="00815C61"/>
    <w:rsid w:val="00817EC0"/>
    <w:rsid w:val="008264DF"/>
    <w:rsid w:val="008378EE"/>
    <w:rsid w:val="0084177B"/>
    <w:rsid w:val="00873BC7"/>
    <w:rsid w:val="008B6A69"/>
    <w:rsid w:val="008E6073"/>
    <w:rsid w:val="009172AA"/>
    <w:rsid w:val="00943202"/>
    <w:rsid w:val="00962B28"/>
    <w:rsid w:val="00995E9F"/>
    <w:rsid w:val="0099614C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2595"/>
    <w:rsid w:val="00AD6E8F"/>
    <w:rsid w:val="00AE0A7E"/>
    <w:rsid w:val="00AF0239"/>
    <w:rsid w:val="00AF1C65"/>
    <w:rsid w:val="00B3763B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01453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E077EB"/>
    <w:rsid w:val="00E16049"/>
    <w:rsid w:val="00E46665"/>
    <w:rsid w:val="00E673BB"/>
    <w:rsid w:val="00E85F88"/>
    <w:rsid w:val="00ED380B"/>
    <w:rsid w:val="00EF4DDC"/>
    <w:rsid w:val="00F06049"/>
    <w:rsid w:val="00F4604A"/>
    <w:rsid w:val="00F63F07"/>
    <w:rsid w:val="00F729AA"/>
    <w:rsid w:val="00F807BB"/>
    <w:rsid w:val="00F840B1"/>
    <w:rsid w:val="00F86578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8</cp:revision>
  <dcterms:created xsi:type="dcterms:W3CDTF">2024-09-25T13:30:00Z</dcterms:created>
  <dcterms:modified xsi:type="dcterms:W3CDTF">2024-09-25T13:46:00Z</dcterms:modified>
</cp:coreProperties>
</file>