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78206C">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8206C" w:rsidRPr="0078206C">
        <w:rPr>
          <w:rFonts w:ascii="Times New Roman" w:hAnsi="Times New Roman"/>
          <w:b/>
          <w:sz w:val="28"/>
          <w:szCs w:val="28"/>
        </w:rPr>
        <w:t>СОРТОВОГО И ПРОФИЛЬНОГО МЕТАЛЛОПРОКАТА  ДЛЯ МСЧ, ОСНАСТКИ 6ЭТАПА И 9 ЭТАПА  МОРСКОГО ТРАН</w:t>
      </w:r>
      <w:r w:rsidR="0078206C">
        <w:rPr>
          <w:rFonts w:ascii="Times New Roman" w:hAnsi="Times New Roman"/>
          <w:b/>
          <w:sz w:val="28"/>
          <w:szCs w:val="28"/>
        </w:rPr>
        <w:t>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78206C" w:rsidRPr="0078206C">
        <w:rPr>
          <w:rFonts w:ascii="Times New Roman" w:hAnsi="Times New Roman" w:cs="Times New Roman"/>
          <w:sz w:val="24"/>
          <w:szCs w:val="24"/>
        </w:rPr>
        <w:t>сортового и профильного металлопроката  для МСЧ, оснастки 6этапа и 9 этапа  морского тран</w:t>
      </w:r>
      <w:r w:rsidR="0078206C">
        <w:rPr>
          <w:rFonts w:ascii="Times New Roman" w:hAnsi="Times New Roman" w:cs="Times New Roman"/>
          <w:sz w:val="24"/>
          <w:szCs w:val="24"/>
        </w:rPr>
        <w:t>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8206C" w:rsidRPr="0078206C">
        <w:rPr>
          <w:rFonts w:eastAsia="Courier New"/>
          <w:color w:val="000000"/>
          <w:spacing w:val="-4"/>
          <w:sz w:val="24"/>
          <w:szCs w:val="24"/>
        </w:rPr>
        <w:t>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8206C">
        <w:rPr>
          <w:sz w:val="24"/>
          <w:szCs w:val="24"/>
        </w:rPr>
        <w:t>1 082 020,60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8206C">
        <w:rPr>
          <w:rFonts w:ascii="Times New Roman" w:hAnsi="Times New Roman" w:cs="Times New Roman"/>
          <w:sz w:val="24"/>
          <w:szCs w:val="24"/>
          <w:u w:val="single"/>
        </w:rPr>
        <w:t>11</w:t>
      </w:r>
      <w:r w:rsidR="00BA03CD">
        <w:rPr>
          <w:rFonts w:ascii="Times New Roman" w:hAnsi="Times New Roman" w:cs="Times New Roman"/>
          <w:sz w:val="24"/>
          <w:szCs w:val="24"/>
          <w:u w:val="single"/>
        </w:rPr>
        <w:t>.</w:t>
      </w:r>
      <w:r w:rsidR="0078206C">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78206C">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78206C">
        <w:rPr>
          <w:rFonts w:ascii="Times New Roman" w:hAnsi="Times New Roman" w:cs="Times New Roman"/>
          <w:sz w:val="24"/>
          <w:szCs w:val="24"/>
          <w:u w:val="single"/>
        </w:rPr>
        <w:t>1</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8206C">
        <w:rPr>
          <w:rFonts w:ascii="Times New Roman" w:hAnsi="Times New Roman" w:cs="Times New Roman"/>
          <w:sz w:val="24"/>
          <w:szCs w:val="24"/>
          <w:u w:val="single"/>
        </w:rPr>
        <w:t>17</w:t>
      </w:r>
      <w:r w:rsidR="00CD6F1C">
        <w:rPr>
          <w:rFonts w:ascii="Times New Roman" w:hAnsi="Times New Roman" w:cs="Times New Roman"/>
          <w:sz w:val="24"/>
          <w:szCs w:val="24"/>
          <w:u w:val="single"/>
        </w:rPr>
        <w:t>.</w:t>
      </w:r>
      <w:r w:rsidR="0078206C">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78206C">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8206C">
              <w:rPr>
                <w:rFonts w:ascii="Times New Roman" w:hAnsi="Times New Roman" w:cs="Times New Roman"/>
                <w:sz w:val="24"/>
                <w:szCs w:val="24"/>
              </w:rPr>
              <w:t>11.03</w:t>
            </w:r>
            <w:r w:rsidR="00F654B1">
              <w:rPr>
                <w:rFonts w:ascii="Times New Roman" w:hAnsi="Times New Roman" w:cs="Times New Roman"/>
                <w:sz w:val="24"/>
                <w:szCs w:val="24"/>
              </w:rPr>
              <w:t>.2023</w:t>
            </w:r>
            <w:r w:rsidR="0078206C">
              <w:rPr>
                <w:rFonts w:ascii="Times New Roman" w:hAnsi="Times New Roman" w:cs="Times New Roman"/>
                <w:sz w:val="24"/>
                <w:szCs w:val="24"/>
              </w:rPr>
              <w:t xml:space="preserve"> 09</w:t>
            </w:r>
            <w:r w:rsidR="00701E8A">
              <w:rPr>
                <w:rFonts w:ascii="Times New Roman" w:hAnsi="Times New Roman" w:cs="Times New Roman"/>
                <w:sz w:val="24"/>
                <w:szCs w:val="24"/>
              </w:rPr>
              <w:t>:</w:t>
            </w:r>
            <w:r w:rsidR="0078206C">
              <w:rPr>
                <w:rFonts w:ascii="Times New Roman" w:hAnsi="Times New Roman" w:cs="Times New Roman"/>
                <w:sz w:val="24"/>
                <w:szCs w:val="24"/>
              </w:rPr>
              <w:t>1</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78206C">
              <w:rPr>
                <w:rFonts w:ascii="Times New Roman" w:hAnsi="Times New Roman" w:cs="Times New Roman"/>
                <w:sz w:val="24"/>
                <w:szCs w:val="24"/>
              </w:rPr>
              <w:t>17.03</w:t>
            </w:r>
            <w:r w:rsidR="00F654B1">
              <w:rPr>
                <w:rFonts w:ascii="Times New Roman" w:hAnsi="Times New Roman" w:cs="Times New Roman"/>
                <w:sz w:val="24"/>
                <w:szCs w:val="24"/>
              </w:rPr>
              <w:t>.2023</w:t>
            </w:r>
            <w:r w:rsidR="0078206C">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D706A"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D706A"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8206C">
        <w:rPr>
          <w:rFonts w:ascii="Times New Roman" w:hAnsi="Times New Roman" w:cs="Times New Roman"/>
          <w:sz w:val="24"/>
          <w:szCs w:val="24"/>
        </w:rPr>
        <w:t>09:10</w:t>
      </w:r>
      <w:r w:rsidR="00186792">
        <w:rPr>
          <w:rFonts w:ascii="Times New Roman" w:hAnsi="Times New Roman" w:cs="Times New Roman"/>
          <w:sz w:val="24"/>
          <w:szCs w:val="24"/>
        </w:rPr>
        <w:t xml:space="preserve"> часов (время московское) </w:t>
      </w:r>
      <w:r w:rsidR="0078206C">
        <w:rPr>
          <w:rFonts w:ascii="Times New Roman" w:hAnsi="Times New Roman" w:cs="Times New Roman"/>
          <w:sz w:val="24"/>
          <w:szCs w:val="24"/>
          <w:u w:val="single"/>
        </w:rPr>
        <w:t>11.03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78206C">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8206C">
        <w:rPr>
          <w:rFonts w:ascii="Times New Roman" w:hAnsi="Times New Roman" w:cs="Times New Roman"/>
          <w:sz w:val="24"/>
          <w:szCs w:val="24"/>
          <w:u w:val="single"/>
        </w:rPr>
        <w:t>16.03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78206C">
        <w:rPr>
          <w:rFonts w:ascii="Times New Roman" w:hAnsi="Times New Roman" w:cs="Times New Roman"/>
          <w:sz w:val="24"/>
          <w:szCs w:val="24"/>
          <w:u w:val="single"/>
        </w:rPr>
        <w:t>17</w:t>
      </w:r>
      <w:r w:rsidR="00C64906" w:rsidRPr="00A73F94">
        <w:rPr>
          <w:rFonts w:ascii="Times New Roman" w:hAnsi="Times New Roman" w:cs="Times New Roman"/>
          <w:sz w:val="24"/>
          <w:szCs w:val="24"/>
          <w:u w:val="single"/>
        </w:rPr>
        <w:t>.</w:t>
      </w:r>
      <w:r w:rsidR="0078206C">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8206C">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78206C">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78206C">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78206C" w:rsidRDefault="00EA6E42" w:rsidP="0078206C">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w:t>
      </w:r>
      <w:r w:rsidR="0078206C">
        <w:rPr>
          <w:rFonts w:ascii="Times New Roman" w:hAnsi="Times New Roman" w:cs="Times New Roman"/>
          <w:sz w:val="24"/>
          <w:szCs w:val="24"/>
        </w:rPr>
        <w:t>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78206C" w:rsidRDefault="0078206C" w:rsidP="0078206C">
      <w:pPr>
        <w:spacing w:after="0" w:line="240" w:lineRule="auto"/>
        <w:jc w:val="center"/>
        <w:rPr>
          <w:rFonts w:ascii="Times New Roman" w:hAnsi="Times New Roman"/>
          <w:b/>
        </w:rPr>
      </w:pPr>
      <w:r>
        <w:rPr>
          <w:rFonts w:ascii="Times New Roman" w:hAnsi="Times New Roman"/>
          <w:b/>
        </w:rPr>
        <w:t>на приобретение сортового и профильного металлопроката  для МСЧ, оснастки 6этапа и 9 этапа  морского транспорта вооружения проекта 23900.</w:t>
      </w:r>
    </w:p>
    <w:p w:rsidR="0078206C" w:rsidRPr="00F102F6" w:rsidRDefault="0078206C" w:rsidP="0078206C">
      <w:pPr>
        <w:spacing w:after="0" w:line="240" w:lineRule="auto"/>
        <w:jc w:val="center"/>
        <w:rPr>
          <w:rFonts w:ascii="Times New Roman" w:hAnsi="Times New Roman"/>
          <w:b/>
        </w:rPr>
      </w:pPr>
    </w:p>
    <w:p w:rsidR="0078206C" w:rsidRDefault="0078206C" w:rsidP="0078206C">
      <w:pPr>
        <w:pStyle w:val="af5"/>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78206C" w:rsidRPr="00DC5166" w:rsidRDefault="0078206C" w:rsidP="0078206C">
      <w:pPr>
        <w:shd w:val="clear" w:color="auto" w:fill="FFFFFF"/>
        <w:spacing w:after="0" w:line="240" w:lineRule="auto"/>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сортового и профильного металлопроката для изготовления МСЧ, оснастки 6 этапа, 9 этапа</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w:t>
      </w:r>
      <w:r>
        <w:rPr>
          <w:rFonts w:ascii="Times New Roman" w:hAnsi="Times New Roman"/>
          <w:sz w:val="24"/>
          <w:szCs w:val="24"/>
        </w:rPr>
        <w:t xml:space="preserve"> г</w:t>
      </w:r>
      <w:r w:rsidRPr="00DC5166">
        <w:rPr>
          <w:rFonts w:ascii="Times New Roman" w:hAnsi="Times New Roman"/>
          <w:sz w:val="24"/>
          <w:szCs w:val="24"/>
        </w:rPr>
        <w:t>,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78206C" w:rsidRPr="00EF4B54" w:rsidRDefault="0078206C" w:rsidP="0078206C">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78206C" w:rsidRPr="00EF4B54" w:rsidRDefault="0078206C" w:rsidP="0078206C">
      <w:pPr>
        <w:spacing w:line="240" w:lineRule="auto"/>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с момента оплаты авансового платежа </w:t>
      </w:r>
      <w:r>
        <w:rPr>
          <w:rFonts w:ascii="Times New Roman" w:eastAsia="Times New Roman" w:hAnsi="Times New Roman"/>
        </w:rPr>
        <w:t>5</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78206C" w:rsidRPr="00EF4B54" w:rsidRDefault="0078206C" w:rsidP="0078206C">
      <w:pPr>
        <w:spacing w:line="240" w:lineRule="auto"/>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15 (пятнадцати) рабочих</w:t>
      </w:r>
      <w:r w:rsidRPr="00EF4B54">
        <w:rPr>
          <w:rFonts w:ascii="Times New Roman" w:eastAsia="Times New Roman" w:hAnsi="Times New Roman"/>
        </w:rPr>
        <w:t xml:space="preserve">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78206C" w:rsidRPr="00EF4B54" w:rsidRDefault="0078206C" w:rsidP="0078206C">
      <w:pPr>
        <w:spacing w:line="240" w:lineRule="auto"/>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78206C" w:rsidRDefault="0078206C" w:rsidP="0078206C">
      <w:pPr>
        <w:spacing w:line="240" w:lineRule="auto"/>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78206C" w:rsidRPr="00EF4B54" w:rsidRDefault="0078206C" w:rsidP="0078206C">
      <w:pPr>
        <w:spacing w:line="240" w:lineRule="auto"/>
        <w:ind w:left="-992" w:hanging="11"/>
        <w:contextualSpacing/>
        <w:jc w:val="both"/>
        <w:rPr>
          <w:rFonts w:ascii="Times New Roman" w:hAnsi="Times New Roman"/>
        </w:rPr>
      </w:pPr>
    </w:p>
    <w:tbl>
      <w:tblPr>
        <w:tblW w:w="5000" w:type="pct"/>
        <w:tblLayout w:type="fixed"/>
        <w:tblLook w:val="04A0" w:firstRow="1" w:lastRow="0" w:firstColumn="1" w:lastColumn="0" w:noHBand="0" w:noVBand="1"/>
      </w:tblPr>
      <w:tblGrid>
        <w:gridCol w:w="595"/>
        <w:gridCol w:w="4922"/>
        <w:gridCol w:w="1402"/>
        <w:gridCol w:w="1447"/>
        <w:gridCol w:w="2338"/>
      </w:tblGrid>
      <w:tr w:rsidR="0078206C" w:rsidRPr="00BB6749" w:rsidTr="000D367B">
        <w:trPr>
          <w:trHeight w:val="960"/>
        </w:trPr>
        <w:tc>
          <w:tcPr>
            <w:tcW w:w="2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8206C" w:rsidRPr="00BB6749" w:rsidRDefault="0078206C" w:rsidP="000D367B">
            <w:pPr>
              <w:spacing w:after="0" w:line="240" w:lineRule="auto"/>
              <w:jc w:val="center"/>
              <w:rPr>
                <w:rFonts w:ascii="Times New Roman" w:eastAsia="Times New Roman" w:hAnsi="Times New Roman"/>
                <w:b/>
                <w:bCs/>
                <w:color w:val="000000"/>
                <w:sz w:val="24"/>
                <w:szCs w:val="24"/>
                <w:lang w:eastAsia="ru-RU"/>
              </w:rPr>
            </w:pPr>
            <w:r w:rsidRPr="00BB6749">
              <w:rPr>
                <w:rFonts w:ascii="Times New Roman" w:eastAsia="Times New Roman" w:hAnsi="Times New Roman"/>
                <w:b/>
                <w:bCs/>
                <w:color w:val="000000"/>
                <w:sz w:val="24"/>
                <w:szCs w:val="24"/>
                <w:lang w:eastAsia="ru-RU"/>
              </w:rPr>
              <w:t xml:space="preserve">№ </w:t>
            </w:r>
            <w:proofErr w:type="gramStart"/>
            <w:r w:rsidRPr="00BB6749">
              <w:rPr>
                <w:rFonts w:ascii="Times New Roman" w:eastAsia="Times New Roman" w:hAnsi="Times New Roman"/>
                <w:b/>
                <w:bCs/>
                <w:color w:val="000000"/>
                <w:sz w:val="24"/>
                <w:szCs w:val="24"/>
                <w:lang w:eastAsia="ru-RU"/>
              </w:rPr>
              <w:t>п</w:t>
            </w:r>
            <w:proofErr w:type="gramEnd"/>
            <w:r w:rsidRPr="00BB6749">
              <w:rPr>
                <w:rFonts w:ascii="Times New Roman" w:eastAsia="Times New Roman" w:hAnsi="Times New Roman"/>
                <w:b/>
                <w:bCs/>
                <w:color w:val="000000"/>
                <w:sz w:val="24"/>
                <w:szCs w:val="24"/>
                <w:lang w:eastAsia="ru-RU"/>
              </w:rPr>
              <w:t>/п</w:t>
            </w:r>
          </w:p>
        </w:tc>
        <w:tc>
          <w:tcPr>
            <w:tcW w:w="2299" w:type="pct"/>
            <w:tcBorders>
              <w:top w:val="single" w:sz="8" w:space="0" w:color="auto"/>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center"/>
              <w:rPr>
                <w:rFonts w:ascii="Times New Roman" w:eastAsia="Times New Roman" w:hAnsi="Times New Roman"/>
                <w:b/>
                <w:bCs/>
                <w:color w:val="000000"/>
                <w:sz w:val="24"/>
                <w:szCs w:val="24"/>
                <w:lang w:eastAsia="ru-RU"/>
              </w:rPr>
            </w:pPr>
            <w:r w:rsidRPr="00BB6749">
              <w:rPr>
                <w:rFonts w:ascii="Times New Roman" w:eastAsia="Times New Roman" w:hAnsi="Times New Roman"/>
                <w:b/>
                <w:bCs/>
                <w:color w:val="000000"/>
                <w:sz w:val="24"/>
                <w:szCs w:val="24"/>
                <w:lang w:eastAsia="ru-RU"/>
              </w:rPr>
              <w:t>Наименование</w:t>
            </w:r>
          </w:p>
        </w:tc>
        <w:tc>
          <w:tcPr>
            <w:tcW w:w="655" w:type="pct"/>
            <w:tcBorders>
              <w:top w:val="single" w:sz="8" w:space="0" w:color="auto"/>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center"/>
              <w:rPr>
                <w:rFonts w:ascii="Times New Roman" w:eastAsia="Times New Roman" w:hAnsi="Times New Roman"/>
                <w:b/>
                <w:bCs/>
                <w:color w:val="000000"/>
                <w:sz w:val="24"/>
                <w:szCs w:val="24"/>
                <w:lang w:eastAsia="ru-RU"/>
              </w:rPr>
            </w:pPr>
            <w:r w:rsidRPr="00BB6749">
              <w:rPr>
                <w:rFonts w:ascii="Times New Roman" w:eastAsia="Times New Roman" w:hAnsi="Times New Roman"/>
                <w:b/>
                <w:bCs/>
                <w:color w:val="000000"/>
                <w:sz w:val="24"/>
                <w:szCs w:val="24"/>
                <w:lang w:eastAsia="ru-RU"/>
              </w:rPr>
              <w:t xml:space="preserve">Кол-во, </w:t>
            </w:r>
            <w:proofErr w:type="gramStart"/>
            <w:r w:rsidRPr="00BB6749">
              <w:rPr>
                <w:rFonts w:ascii="Times New Roman" w:eastAsia="Times New Roman" w:hAnsi="Times New Roman"/>
                <w:b/>
                <w:bCs/>
                <w:color w:val="000000"/>
                <w:sz w:val="24"/>
                <w:szCs w:val="24"/>
                <w:lang w:eastAsia="ru-RU"/>
              </w:rPr>
              <w:t>кг</w:t>
            </w:r>
            <w:proofErr w:type="gramEnd"/>
          </w:p>
        </w:tc>
        <w:tc>
          <w:tcPr>
            <w:tcW w:w="676" w:type="pct"/>
            <w:tcBorders>
              <w:top w:val="single" w:sz="8" w:space="0" w:color="auto"/>
              <w:left w:val="nil"/>
              <w:bottom w:val="single" w:sz="8" w:space="0" w:color="auto"/>
              <w:right w:val="single" w:sz="8" w:space="0" w:color="auto"/>
            </w:tcBorders>
            <w:shd w:val="clear" w:color="auto" w:fill="auto"/>
            <w:vAlign w:val="center"/>
            <w:hideMark/>
          </w:tcPr>
          <w:p w:rsidR="0078206C" w:rsidRPr="00BB6749" w:rsidRDefault="0078206C" w:rsidP="000D367B">
            <w:pPr>
              <w:spacing w:after="0" w:line="240" w:lineRule="auto"/>
              <w:jc w:val="center"/>
              <w:rPr>
                <w:rFonts w:ascii="Times New Roman" w:eastAsia="Times New Roman" w:hAnsi="Times New Roman"/>
                <w:b/>
                <w:bCs/>
                <w:color w:val="000000"/>
                <w:sz w:val="24"/>
                <w:szCs w:val="24"/>
                <w:lang w:eastAsia="ru-RU"/>
              </w:rPr>
            </w:pPr>
            <w:r w:rsidRPr="00BB6749">
              <w:rPr>
                <w:rFonts w:ascii="Times New Roman" w:eastAsia="Times New Roman" w:hAnsi="Times New Roman"/>
                <w:b/>
                <w:bCs/>
                <w:color w:val="000000"/>
                <w:sz w:val="24"/>
                <w:szCs w:val="24"/>
                <w:lang w:eastAsia="ru-RU"/>
              </w:rPr>
              <w:t xml:space="preserve">Цена за </w:t>
            </w:r>
            <w:proofErr w:type="gramStart"/>
            <w:r w:rsidRPr="00BB6749">
              <w:rPr>
                <w:rFonts w:ascii="Times New Roman" w:eastAsia="Times New Roman" w:hAnsi="Times New Roman"/>
                <w:b/>
                <w:bCs/>
                <w:color w:val="000000"/>
                <w:sz w:val="24"/>
                <w:szCs w:val="24"/>
                <w:lang w:eastAsia="ru-RU"/>
              </w:rPr>
              <w:t>кг</w:t>
            </w:r>
            <w:proofErr w:type="gramEnd"/>
            <w:r w:rsidRPr="00BB6749">
              <w:rPr>
                <w:rFonts w:ascii="Times New Roman" w:eastAsia="Times New Roman" w:hAnsi="Times New Roman"/>
                <w:b/>
                <w:bCs/>
                <w:color w:val="000000"/>
                <w:sz w:val="24"/>
                <w:szCs w:val="24"/>
                <w:lang w:eastAsia="ru-RU"/>
              </w:rPr>
              <w:t xml:space="preserve"> с НДС </w:t>
            </w:r>
          </w:p>
        </w:tc>
        <w:tc>
          <w:tcPr>
            <w:tcW w:w="1092" w:type="pct"/>
            <w:tcBorders>
              <w:top w:val="single" w:sz="8" w:space="0" w:color="auto"/>
              <w:left w:val="nil"/>
              <w:bottom w:val="single" w:sz="8" w:space="0" w:color="auto"/>
              <w:right w:val="single" w:sz="8" w:space="0" w:color="auto"/>
            </w:tcBorders>
            <w:shd w:val="clear" w:color="auto" w:fill="auto"/>
            <w:vAlign w:val="center"/>
            <w:hideMark/>
          </w:tcPr>
          <w:p w:rsidR="0078206C" w:rsidRPr="00BB6749" w:rsidRDefault="0078206C" w:rsidP="000D367B">
            <w:pPr>
              <w:spacing w:after="0" w:line="240" w:lineRule="auto"/>
              <w:jc w:val="center"/>
              <w:rPr>
                <w:rFonts w:ascii="Times New Roman" w:eastAsia="Times New Roman" w:hAnsi="Times New Roman"/>
                <w:b/>
                <w:bCs/>
                <w:color w:val="000000"/>
                <w:sz w:val="24"/>
                <w:szCs w:val="24"/>
                <w:lang w:eastAsia="ru-RU"/>
              </w:rPr>
            </w:pPr>
            <w:r w:rsidRPr="00BB6749">
              <w:rPr>
                <w:rFonts w:ascii="Times New Roman" w:eastAsia="Times New Roman" w:hAnsi="Times New Roman"/>
                <w:b/>
                <w:bCs/>
                <w:color w:val="000000"/>
                <w:sz w:val="24"/>
                <w:szCs w:val="24"/>
                <w:lang w:eastAsia="ru-RU"/>
              </w:rPr>
              <w:t xml:space="preserve">Стоимость с НДС </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Квадрат 18 ст3 ГОСТ 535-2005</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62</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105,3</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6 528,60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Лента 2х20 ст3 ГОСТ 503</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50</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176</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8 800,00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Лента 3х20 ст3 ГОСТ 503</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200</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177</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35 400,00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4</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Полоса 4х25 ст3 ГОСТ535-2005</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129</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96,9</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12 500,10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5</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Полоса 5х50 ст3 ГОСТ535-2005</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111</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96,9</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10 755,90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6</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Полоса 6х60 ст3 ГОСТ535-2005</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84</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102,9</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8 643,60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7</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Полоса 5х40 ст3 ГОСТ535-2005</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146</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66</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9 636,00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8</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ф40 08Х18Н10Т ГОСТ 2590/ГОСТ 5949</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20</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781</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15 620,00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ф17 ст20 ГОСТ 2590/ГОСТ 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23</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94</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2 162,00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10</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ф20 ст20 ГОСТ 2590/ГОСТ 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14</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92</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1 288,00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11</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ф22 ст25 ГОСТ 2590/ГОСТ 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69</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92</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6 348,00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12</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ф24 ст20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84</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92</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7 728,00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13</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ф27 ст20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206</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92</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18 952,00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14</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 xml:space="preserve">Круг 35 </w:t>
            </w:r>
            <w:proofErr w:type="spellStart"/>
            <w:proofErr w:type="gramStart"/>
            <w:r w:rsidRPr="00BB6749">
              <w:rPr>
                <w:rFonts w:ascii="Times New Roman" w:eastAsia="Times New Roman" w:hAnsi="Times New Roman"/>
                <w:color w:val="000000"/>
                <w:lang w:eastAsia="ru-RU"/>
              </w:rPr>
              <w:t>ст</w:t>
            </w:r>
            <w:proofErr w:type="spellEnd"/>
            <w:proofErr w:type="gramEnd"/>
            <w:r w:rsidRPr="00BB6749">
              <w:rPr>
                <w:rFonts w:ascii="Times New Roman" w:eastAsia="Times New Roman" w:hAnsi="Times New Roman"/>
                <w:color w:val="000000"/>
                <w:lang w:eastAsia="ru-RU"/>
              </w:rPr>
              <w:t xml:space="preserve"> 38ХА (40Х)</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100</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101</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10 100,00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15</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ф42 ст20 ГОСТ 2590/ГОСТ 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66</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91</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6 006,00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16</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w:t>
            </w:r>
            <w:proofErr w:type="gramStart"/>
            <w:r w:rsidRPr="00BB6749">
              <w:rPr>
                <w:rFonts w:ascii="Times New Roman" w:eastAsia="Times New Roman" w:hAnsi="Times New Roman"/>
                <w:color w:val="000000"/>
                <w:lang w:eastAsia="ru-RU"/>
              </w:rPr>
              <w:t>6</w:t>
            </w:r>
            <w:proofErr w:type="gramEnd"/>
            <w:r w:rsidRPr="00BB6749">
              <w:rPr>
                <w:rFonts w:ascii="Times New Roman" w:eastAsia="Times New Roman" w:hAnsi="Times New Roman"/>
                <w:color w:val="000000"/>
                <w:lang w:eastAsia="ru-RU"/>
              </w:rPr>
              <w:t xml:space="preserve"> ст15 (ст3) ГОСТ 2590/ГОСТ 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8</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98</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784</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17</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Уголок 25х25х3 ст3 ГОСТ 8509/ГОСТ535</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130</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100,8</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13 104,00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18</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Уголок 32х20х2 ст3 ГОСТ 8510/ГОСТ535</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41</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97</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3 977,00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19</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Уголок 40х40х4 ст3 ГОСТ 8509/ГОСТ535</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581</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87,2</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50 663,20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20</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Уголок 50х50х5 ст3 ГОСТ 8509/ГОСТ535</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169</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92</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15 548,00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21</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Уголок 40х40х4 ст3 ГОСТ 8509/ГОСТ535</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1147</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92</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105 524,00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22</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 xml:space="preserve">Швеллер 200х50х4 Ст3 ГОСТ 8278/ГОСТ 11474 </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1189</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158</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187 862,00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23</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ф115 ст3 ГОСТ 2590/ГОСТ 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489</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95</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46 455,00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lastRenderedPageBreak/>
              <w:t>24</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ф40 ст20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240</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91</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21 840,00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25</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ф40 ст25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60</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91</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5 460,00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26</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ф50 ст25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192</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91</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17 472,00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27</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ф50 ст20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95</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91</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8 645,00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28</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ф60 ст20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665</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71</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47 215,00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29</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ф65 ст20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561</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94</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52 734,00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30</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ф65 ст25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225</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94</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21 150,00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31</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ф70 ст25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265</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94</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24 910,00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32</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ф75 ст20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833</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94</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78 302,00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33</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ф85 ст3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268</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94</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25 192,00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34</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ф90 ст3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200</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94</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18 800,00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35</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ф16 ст3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38</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94</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3 572,00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36</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ф40 ст20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64</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94</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6 016,00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37</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ф200 ст40Х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251</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106</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26 606,00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38</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Круг ф30 ст45 ГОСТ 2590/ГОСТ1050</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33</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95,1</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3 138,30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39</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Уголок 100х100х10 ст3 ГОСТ 27772-2021</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570</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95</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54 150,00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40</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Уголок 50х50х5 ст3 ГОСТ 535-2005</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142</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92</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13 064,00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41</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Швеллер 16У ст3 ГОСТ 535-2005</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350</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84</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29 400,00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42</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Швеллер 20П ст3 ГОСТ 27772-2021</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231</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143,9</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33 240,90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43</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lang w:eastAsia="ru-RU"/>
              </w:rPr>
            </w:pPr>
            <w:r w:rsidRPr="00BB6749">
              <w:rPr>
                <w:rFonts w:ascii="Times New Roman" w:eastAsia="Times New Roman" w:hAnsi="Times New Roman"/>
                <w:color w:val="000000"/>
                <w:lang w:eastAsia="ru-RU"/>
              </w:rPr>
              <w:t>Уголок 70х45х5 ст3 ГОСТ 8510/ГОСТ535</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jc w:val="right"/>
              <w:rPr>
                <w:rFonts w:ascii="Times New Roman" w:eastAsia="Times New Roman" w:hAnsi="Times New Roman"/>
                <w:color w:val="000000"/>
                <w:lang w:eastAsia="ru-RU"/>
              </w:rPr>
            </w:pPr>
            <w:r w:rsidRPr="00BB6749">
              <w:rPr>
                <w:rFonts w:ascii="Times New Roman" w:eastAsia="Times New Roman" w:hAnsi="Times New Roman"/>
                <w:color w:val="000000"/>
                <w:lang w:eastAsia="ru-RU"/>
              </w:rPr>
              <w:t>58</w:t>
            </w:r>
          </w:p>
        </w:tc>
        <w:tc>
          <w:tcPr>
            <w:tcW w:w="676"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116</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6 728,00</w:t>
            </w:r>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 </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 </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b/>
                <w:bCs/>
                <w:color w:val="000000"/>
                <w:sz w:val="24"/>
                <w:szCs w:val="24"/>
                <w:lang w:eastAsia="ru-RU"/>
              </w:rPr>
            </w:pPr>
            <w:r w:rsidRPr="00BB6749">
              <w:rPr>
                <w:rFonts w:ascii="Times New Roman" w:eastAsia="Times New Roman" w:hAnsi="Times New Roman"/>
                <w:b/>
                <w:bCs/>
                <w:color w:val="000000"/>
                <w:sz w:val="24"/>
                <w:szCs w:val="24"/>
                <w:lang w:eastAsia="ru-RU"/>
              </w:rPr>
              <w:t> </w:t>
            </w:r>
          </w:p>
        </w:tc>
        <w:tc>
          <w:tcPr>
            <w:tcW w:w="676"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b/>
                <w:bCs/>
                <w:color w:val="000000"/>
                <w:sz w:val="24"/>
                <w:szCs w:val="24"/>
                <w:lang w:eastAsia="ru-RU"/>
              </w:rPr>
            </w:pPr>
            <w:r w:rsidRPr="00BB6749">
              <w:rPr>
                <w:rFonts w:ascii="Times New Roman" w:eastAsia="Times New Roman" w:hAnsi="Times New Roman"/>
                <w:b/>
                <w:bCs/>
                <w:color w:val="000000"/>
                <w:sz w:val="24"/>
                <w:szCs w:val="24"/>
                <w:lang w:eastAsia="ru-RU"/>
              </w:rPr>
              <w:t>НДС 20%</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8D706A">
            <w:pPr>
              <w:spacing w:after="0" w:line="240" w:lineRule="auto"/>
              <w:jc w:val="right"/>
              <w:rPr>
                <w:rFonts w:ascii="Times New Roman" w:eastAsia="Times New Roman" w:hAnsi="Times New Roman"/>
                <w:b/>
                <w:bCs/>
                <w:color w:val="000000"/>
                <w:sz w:val="24"/>
                <w:szCs w:val="24"/>
                <w:lang w:eastAsia="ru-RU"/>
              </w:rPr>
            </w:pPr>
            <w:r w:rsidRPr="00BB6749">
              <w:rPr>
                <w:rFonts w:ascii="Times New Roman" w:eastAsia="Times New Roman" w:hAnsi="Times New Roman"/>
                <w:b/>
                <w:bCs/>
                <w:color w:val="000000"/>
                <w:sz w:val="24"/>
                <w:szCs w:val="24"/>
                <w:lang w:eastAsia="ru-RU"/>
              </w:rPr>
              <w:t>180</w:t>
            </w:r>
            <w:r w:rsidR="008D706A">
              <w:rPr>
                <w:rFonts w:ascii="Times New Roman" w:eastAsia="Times New Roman" w:hAnsi="Times New Roman"/>
                <w:b/>
                <w:bCs/>
                <w:color w:val="000000"/>
                <w:sz w:val="24"/>
                <w:szCs w:val="24"/>
                <w:lang w:eastAsia="ru-RU"/>
              </w:rPr>
              <w:t> 336,77</w:t>
            </w:r>
            <w:bookmarkStart w:id="0" w:name="_GoBack"/>
            <w:bookmarkEnd w:id="0"/>
          </w:p>
        </w:tc>
      </w:tr>
      <w:tr w:rsidR="0078206C" w:rsidRPr="00BB6749" w:rsidTr="000D367B">
        <w:trPr>
          <w:trHeight w:val="33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 </w:t>
            </w:r>
          </w:p>
        </w:tc>
        <w:tc>
          <w:tcPr>
            <w:tcW w:w="2299"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color w:val="000000"/>
                <w:sz w:val="24"/>
                <w:szCs w:val="24"/>
                <w:lang w:eastAsia="ru-RU"/>
              </w:rPr>
            </w:pPr>
            <w:r w:rsidRPr="00BB6749">
              <w:rPr>
                <w:rFonts w:ascii="Times New Roman" w:eastAsia="Times New Roman" w:hAnsi="Times New Roman"/>
                <w:color w:val="000000"/>
                <w:sz w:val="24"/>
                <w:szCs w:val="24"/>
                <w:lang w:eastAsia="ru-RU"/>
              </w:rPr>
              <w:t> </w:t>
            </w:r>
          </w:p>
        </w:tc>
        <w:tc>
          <w:tcPr>
            <w:tcW w:w="655"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b/>
                <w:bCs/>
                <w:color w:val="000000"/>
                <w:sz w:val="24"/>
                <w:szCs w:val="24"/>
                <w:lang w:eastAsia="ru-RU"/>
              </w:rPr>
            </w:pPr>
            <w:r w:rsidRPr="00BB6749">
              <w:rPr>
                <w:rFonts w:ascii="Times New Roman" w:eastAsia="Times New Roman" w:hAnsi="Times New Roman"/>
                <w:b/>
                <w:bCs/>
                <w:color w:val="000000"/>
                <w:sz w:val="24"/>
                <w:szCs w:val="24"/>
                <w:lang w:eastAsia="ru-RU"/>
              </w:rPr>
              <w:t> </w:t>
            </w:r>
          </w:p>
        </w:tc>
        <w:tc>
          <w:tcPr>
            <w:tcW w:w="676" w:type="pct"/>
            <w:tcBorders>
              <w:top w:val="nil"/>
              <w:left w:val="nil"/>
              <w:bottom w:val="single" w:sz="8" w:space="0" w:color="auto"/>
              <w:right w:val="single" w:sz="8" w:space="0" w:color="auto"/>
            </w:tcBorders>
            <w:shd w:val="clear" w:color="auto" w:fill="auto"/>
            <w:noWrap/>
            <w:vAlign w:val="center"/>
            <w:hideMark/>
          </w:tcPr>
          <w:p w:rsidR="0078206C" w:rsidRPr="00BB6749" w:rsidRDefault="0078206C" w:rsidP="000D367B">
            <w:pPr>
              <w:spacing w:after="0" w:line="240" w:lineRule="auto"/>
              <w:rPr>
                <w:rFonts w:ascii="Times New Roman" w:eastAsia="Times New Roman" w:hAnsi="Times New Roman"/>
                <w:b/>
                <w:bCs/>
                <w:color w:val="000000"/>
                <w:sz w:val="24"/>
                <w:szCs w:val="24"/>
                <w:lang w:eastAsia="ru-RU"/>
              </w:rPr>
            </w:pPr>
            <w:r w:rsidRPr="00BB6749">
              <w:rPr>
                <w:rFonts w:ascii="Times New Roman" w:eastAsia="Times New Roman" w:hAnsi="Times New Roman"/>
                <w:b/>
                <w:bCs/>
                <w:color w:val="000000"/>
                <w:sz w:val="24"/>
                <w:szCs w:val="24"/>
                <w:lang w:eastAsia="ru-RU"/>
              </w:rPr>
              <w:t>Итого с НДС 20%</w:t>
            </w:r>
          </w:p>
        </w:tc>
        <w:tc>
          <w:tcPr>
            <w:tcW w:w="1092" w:type="pct"/>
            <w:tcBorders>
              <w:top w:val="nil"/>
              <w:left w:val="nil"/>
              <w:bottom w:val="single" w:sz="8" w:space="0" w:color="auto"/>
              <w:right w:val="single" w:sz="8" w:space="0" w:color="auto"/>
            </w:tcBorders>
            <w:shd w:val="clear" w:color="000000" w:fill="FFFFFF"/>
            <w:noWrap/>
            <w:vAlign w:val="center"/>
            <w:hideMark/>
          </w:tcPr>
          <w:p w:rsidR="0078206C" w:rsidRPr="00BB6749" w:rsidRDefault="0078206C" w:rsidP="000D367B">
            <w:pPr>
              <w:spacing w:after="0" w:line="240" w:lineRule="auto"/>
              <w:jc w:val="right"/>
              <w:rPr>
                <w:rFonts w:ascii="Times New Roman" w:eastAsia="Times New Roman" w:hAnsi="Times New Roman"/>
                <w:b/>
                <w:bCs/>
                <w:color w:val="000000"/>
                <w:sz w:val="24"/>
                <w:szCs w:val="24"/>
                <w:lang w:eastAsia="ru-RU"/>
              </w:rPr>
            </w:pPr>
            <w:r w:rsidRPr="00BB6749">
              <w:rPr>
                <w:rFonts w:ascii="Times New Roman" w:eastAsia="Times New Roman" w:hAnsi="Times New Roman"/>
                <w:b/>
                <w:bCs/>
                <w:color w:val="000000"/>
                <w:sz w:val="24"/>
                <w:szCs w:val="24"/>
                <w:lang w:eastAsia="ru-RU"/>
              </w:rPr>
              <w:t>1 082 020,60</w:t>
            </w:r>
          </w:p>
        </w:tc>
      </w:tr>
    </w:tbl>
    <w:p w:rsidR="0078206C" w:rsidRPr="00F102F6" w:rsidRDefault="0078206C" w:rsidP="0078206C">
      <w:pPr>
        <w:spacing w:line="240" w:lineRule="auto"/>
        <w:ind w:left="-993" w:hanging="11"/>
        <w:contextualSpacing/>
        <w:jc w:val="both"/>
        <w:rPr>
          <w:rFonts w:ascii="Times New Roman" w:hAnsi="Times New Roman"/>
          <w:sz w:val="21"/>
          <w:szCs w:val="21"/>
        </w:rPr>
      </w:pPr>
    </w:p>
    <w:p w:rsidR="0078206C" w:rsidRPr="00114880" w:rsidRDefault="0078206C" w:rsidP="0078206C">
      <w:pPr>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78206C" w:rsidRPr="00114880" w:rsidRDefault="0078206C" w:rsidP="0078206C">
      <w:pPr>
        <w:spacing w:after="0" w:line="240" w:lineRule="auto"/>
        <w:jc w:val="both"/>
        <w:rPr>
          <w:rFonts w:ascii="Times New Roman" w:hAnsi="Times New Roman"/>
        </w:rPr>
      </w:pPr>
      <w:r w:rsidRPr="00114880">
        <w:rPr>
          <w:rFonts w:ascii="Times New Roman" w:hAnsi="Times New Roman"/>
        </w:rPr>
        <w:t xml:space="preserve">    1.8.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78206C" w:rsidRPr="00114880" w:rsidRDefault="0078206C" w:rsidP="0078206C">
      <w:pPr>
        <w:pStyle w:val="af5"/>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78206C" w:rsidRPr="00114880" w:rsidRDefault="0078206C" w:rsidP="0078206C">
      <w:pPr>
        <w:pStyle w:val="af5"/>
        <w:spacing w:line="240" w:lineRule="auto"/>
        <w:ind w:left="0"/>
        <w:jc w:val="both"/>
        <w:rPr>
          <w:rFonts w:ascii="Times New Roman" w:hAnsi="Times New Roman"/>
        </w:rPr>
      </w:pPr>
      <w:r>
        <w:rPr>
          <w:rFonts w:ascii="Times New Roman" w:hAnsi="Times New Roman"/>
        </w:rPr>
        <w:t xml:space="preserve">   </w:t>
      </w: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78206C" w:rsidRDefault="0078206C" w:rsidP="0078206C">
      <w:pPr>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78206C" w:rsidRPr="00F102F6" w:rsidRDefault="0078206C" w:rsidP="0078206C">
      <w:pPr>
        <w:spacing w:after="0" w:line="240" w:lineRule="auto"/>
        <w:jc w:val="both"/>
        <w:rPr>
          <w:rFonts w:ascii="Times New Roman" w:hAnsi="Times New Roman"/>
          <w:sz w:val="21"/>
          <w:szCs w:val="21"/>
        </w:rPr>
      </w:pPr>
    </w:p>
    <w:p w:rsidR="0078206C" w:rsidRPr="00114880" w:rsidRDefault="0078206C" w:rsidP="0078206C">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78206C" w:rsidRPr="00114880" w:rsidRDefault="0078206C" w:rsidP="0078206C">
      <w:pPr>
        <w:numPr>
          <w:ilvl w:val="1"/>
          <w:numId w:val="8"/>
        </w:numPr>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78206C" w:rsidRPr="00114880" w:rsidRDefault="0078206C" w:rsidP="0078206C">
      <w:pPr>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78206C" w:rsidRPr="00114880" w:rsidRDefault="0078206C" w:rsidP="0078206C">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78206C" w:rsidRPr="005771CE" w:rsidRDefault="0078206C" w:rsidP="0078206C">
      <w:pPr>
        <w:spacing w:line="240" w:lineRule="auto"/>
        <w:contextualSpacing/>
        <w:jc w:val="both"/>
        <w:rPr>
          <w:rFonts w:ascii="Times New Roman" w:hAnsi="Times New Roman"/>
          <w:sz w:val="21"/>
          <w:szCs w:val="21"/>
        </w:rPr>
      </w:pPr>
    </w:p>
    <w:p w:rsidR="0078206C" w:rsidRDefault="0078206C" w:rsidP="0078206C">
      <w:pPr>
        <w:spacing w:line="240" w:lineRule="auto"/>
        <w:contextualSpacing/>
        <w:jc w:val="both"/>
        <w:rPr>
          <w:rFonts w:ascii="Times New Roman" w:hAnsi="Times New Roman"/>
          <w:b/>
          <w:lang w:eastAsia="ru-RU"/>
        </w:rPr>
      </w:pPr>
      <w:r w:rsidRPr="00F102F6">
        <w:rPr>
          <w:rFonts w:ascii="Times New Roman" w:hAnsi="Times New Roman"/>
          <w:b/>
          <w:lang w:eastAsia="ru-RU"/>
        </w:rPr>
        <w:lastRenderedPageBreak/>
        <w:t>3. Требования к техническим характеристикам товара и условиям договора:</w:t>
      </w:r>
    </w:p>
    <w:p w:rsidR="0078206C" w:rsidRPr="00F102F6" w:rsidRDefault="0078206C" w:rsidP="0078206C">
      <w:pPr>
        <w:spacing w:line="240" w:lineRule="auto"/>
        <w:contextualSpacing/>
        <w:jc w:val="both"/>
        <w:rPr>
          <w:rFonts w:ascii="Times New Roman" w:hAnsi="Times New Roman"/>
          <w:sz w:val="21"/>
          <w:szCs w:val="21"/>
        </w:rPr>
      </w:pPr>
    </w:p>
    <w:p w:rsidR="0078206C" w:rsidRPr="00114880" w:rsidRDefault="0078206C" w:rsidP="0078206C">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78206C" w:rsidRPr="00E55DAF" w:rsidRDefault="0078206C" w:rsidP="0078206C">
      <w:pPr>
        <w:spacing w:line="240" w:lineRule="auto"/>
        <w:contextualSpacing/>
        <w:jc w:val="both"/>
        <w:rPr>
          <w:rFonts w:ascii="Times New Roman" w:eastAsia="Times New Roman" w:hAnsi="Times New Roman"/>
          <w:color w:val="000000"/>
          <w:lang w:eastAsia="ru-RU"/>
        </w:rPr>
      </w:pPr>
      <w:r w:rsidRPr="00114880">
        <w:rPr>
          <w:rFonts w:ascii="Times New Roman" w:hAnsi="Times New Roman"/>
        </w:rPr>
        <w:t xml:space="preserve">3.5. Существенные условия: </w:t>
      </w:r>
      <w:proofErr w:type="gramStart"/>
      <w:r w:rsidRPr="00E55DAF">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E55DAF">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78206C" w:rsidRPr="00114880" w:rsidRDefault="0078206C" w:rsidP="0078206C">
      <w:pPr>
        <w:spacing w:line="240" w:lineRule="auto"/>
        <w:contextualSpacing/>
        <w:jc w:val="both"/>
        <w:rPr>
          <w:rFonts w:ascii="Times New Roman" w:hAnsi="Times New Roman"/>
        </w:rPr>
      </w:pPr>
    </w:p>
    <w:p w:rsidR="0078206C" w:rsidRDefault="0078206C" w:rsidP="0078206C">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78206C" w:rsidRPr="00F102F6" w:rsidRDefault="0078206C" w:rsidP="0078206C">
      <w:pPr>
        <w:spacing w:line="240" w:lineRule="auto"/>
        <w:contextualSpacing/>
        <w:jc w:val="both"/>
        <w:rPr>
          <w:rFonts w:ascii="Times New Roman" w:hAnsi="Times New Roman"/>
          <w:b/>
          <w:lang w:eastAsia="ru-RU"/>
        </w:rPr>
      </w:pPr>
    </w:p>
    <w:p w:rsidR="0078206C" w:rsidRPr="00114880" w:rsidRDefault="0078206C" w:rsidP="0078206C">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в 2022 гг</w:t>
      </w:r>
      <w:r w:rsidRPr="00114880">
        <w:rPr>
          <w:rFonts w:ascii="Times New Roman" w:hAnsi="Times New Roman"/>
        </w:rPr>
        <w:t>.</w:t>
      </w:r>
    </w:p>
    <w:p w:rsidR="0078206C" w:rsidRPr="00105346" w:rsidRDefault="0078206C" w:rsidP="0078206C">
      <w:pPr>
        <w:spacing w:line="240" w:lineRule="auto"/>
        <w:contextualSpacing/>
        <w:jc w:val="both"/>
        <w:rPr>
          <w:rFonts w:ascii="Times New Roman" w:hAnsi="Times New Roman"/>
          <w:sz w:val="21"/>
          <w:szCs w:val="21"/>
        </w:rPr>
      </w:pPr>
    </w:p>
    <w:p w:rsidR="0078206C" w:rsidRDefault="0078206C" w:rsidP="0078206C">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78206C" w:rsidRPr="00F102F6" w:rsidRDefault="0078206C" w:rsidP="0078206C">
      <w:pPr>
        <w:spacing w:line="240" w:lineRule="auto"/>
        <w:contextualSpacing/>
        <w:jc w:val="both"/>
        <w:rPr>
          <w:rFonts w:ascii="Times New Roman" w:hAnsi="Times New Roman"/>
          <w:b/>
        </w:rPr>
      </w:pPr>
    </w:p>
    <w:p w:rsidR="0078206C" w:rsidRPr="00114880" w:rsidRDefault="0078206C" w:rsidP="0078206C">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8206C" w:rsidRPr="00114880" w:rsidRDefault="0078206C" w:rsidP="0078206C">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78206C" w:rsidRPr="00114880" w:rsidRDefault="0078206C" w:rsidP="0078206C">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78206C" w:rsidRPr="00114880" w:rsidRDefault="0078206C" w:rsidP="0078206C">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78206C" w:rsidRPr="00114880" w:rsidRDefault="0078206C" w:rsidP="0078206C">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78206C" w:rsidRPr="00114880" w:rsidRDefault="0078206C" w:rsidP="0078206C">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78206C" w:rsidRPr="00105346" w:rsidRDefault="0078206C" w:rsidP="0078206C">
      <w:pPr>
        <w:tabs>
          <w:tab w:val="left" w:pos="993"/>
        </w:tabs>
        <w:spacing w:line="240" w:lineRule="auto"/>
        <w:contextualSpacing/>
        <w:jc w:val="both"/>
        <w:rPr>
          <w:rFonts w:ascii="Times New Roman" w:hAnsi="Times New Roman"/>
          <w:sz w:val="21"/>
          <w:szCs w:val="21"/>
        </w:rPr>
      </w:pPr>
    </w:p>
    <w:p w:rsidR="0078206C" w:rsidRDefault="0078206C" w:rsidP="0078206C">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78206C" w:rsidRDefault="0078206C" w:rsidP="0078206C">
      <w:pPr>
        <w:spacing w:line="240" w:lineRule="auto"/>
        <w:contextualSpacing/>
        <w:jc w:val="both"/>
        <w:rPr>
          <w:rFonts w:ascii="Times New Roman" w:hAnsi="Times New Roman"/>
          <w:b/>
          <w:lang w:eastAsia="ru-RU"/>
        </w:rPr>
      </w:pPr>
    </w:p>
    <w:p w:rsidR="0078206C" w:rsidRPr="00114880" w:rsidRDefault="0078206C" w:rsidP="0078206C">
      <w:pPr>
        <w:spacing w:line="240" w:lineRule="auto"/>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50</w:t>
      </w:r>
      <w:r w:rsidRPr="00114880">
        <w:rPr>
          <w:rFonts w:ascii="Times New Roman" w:hAnsi="Times New Roman"/>
        </w:rPr>
        <w:t xml:space="preserve">% от общей стоимости Товара согласно Спецификации. </w:t>
      </w:r>
    </w:p>
    <w:p w:rsidR="0078206C" w:rsidRPr="00114880" w:rsidRDefault="0078206C" w:rsidP="0078206C">
      <w:pPr>
        <w:spacing w:line="240" w:lineRule="auto"/>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15(пятнадцати) рабочих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78206C" w:rsidRPr="00105346" w:rsidRDefault="0078206C" w:rsidP="0078206C">
      <w:pPr>
        <w:spacing w:line="240" w:lineRule="auto"/>
        <w:contextualSpacing/>
        <w:jc w:val="both"/>
        <w:rPr>
          <w:rFonts w:ascii="Times New Roman" w:hAnsi="Times New Roman"/>
          <w:b/>
          <w:lang w:eastAsia="ru-RU"/>
        </w:rPr>
      </w:pPr>
      <w:r>
        <w:rPr>
          <w:rFonts w:ascii="Times New Roman" w:hAnsi="Times New Roman"/>
        </w:rPr>
        <w:t xml:space="preserve"> </w:t>
      </w:r>
    </w:p>
    <w:p w:rsidR="0078206C" w:rsidRDefault="0078206C" w:rsidP="0078206C">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78206C" w:rsidRPr="00114880" w:rsidRDefault="0078206C" w:rsidP="0078206C">
      <w:pPr>
        <w:spacing w:after="0" w:line="240" w:lineRule="auto"/>
        <w:contextualSpacing/>
        <w:jc w:val="both"/>
        <w:rPr>
          <w:rFonts w:ascii="Times New Roman" w:hAnsi="Times New Roman"/>
        </w:rPr>
      </w:pPr>
      <w:r w:rsidRPr="00114880">
        <w:rPr>
          <w:rFonts w:ascii="Times New Roman" w:hAnsi="Times New Roman"/>
          <w:color w:val="000000"/>
          <w:lang w:val="x-none"/>
        </w:rPr>
        <w:lastRenderedPageBreak/>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78206C" w:rsidRPr="00114880" w:rsidRDefault="0078206C" w:rsidP="0078206C">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 xml:space="preserve">) </w:t>
      </w:r>
      <w:r>
        <w:rPr>
          <w:rFonts w:ascii="Times New Roman" w:hAnsi="Times New Roman"/>
          <w:color w:val="000000"/>
        </w:rPr>
        <w:t xml:space="preserve">календарных </w:t>
      </w:r>
      <w:r w:rsidRPr="00114880">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78206C" w:rsidRPr="00114880" w:rsidRDefault="0078206C" w:rsidP="0078206C">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78206C" w:rsidRPr="00114880" w:rsidRDefault="0078206C" w:rsidP="0078206C">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78206C" w:rsidRDefault="0078206C" w:rsidP="0078206C">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78206C" w:rsidRPr="004C2C47" w:rsidRDefault="0078206C" w:rsidP="0078206C">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78206C" w:rsidRPr="00114880" w:rsidRDefault="0078206C" w:rsidP="0078206C">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78206C" w:rsidRPr="00114880" w:rsidRDefault="0078206C" w:rsidP="0078206C">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8206C" w:rsidRDefault="0078206C" w:rsidP="0078206C">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78206C" w:rsidRDefault="0078206C"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78206C">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206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D706A"/>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172E"/>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94F39"/>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AE4C9-006C-4F2E-8416-0A4DDE7A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13</Pages>
  <Words>5381</Words>
  <Characters>30673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2023-03-11T06:05:00Z</dcterms:modified>
</cp:coreProperties>
</file>