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5A20" w14:textId="4342769E" w:rsidR="009351FC" w:rsidRPr="004B42B1" w:rsidRDefault="004B42B1" w:rsidP="004B42B1">
      <w:pPr>
        <w:jc w:val="center"/>
        <w:rPr>
          <w:b/>
        </w:rPr>
      </w:pPr>
      <w:r w:rsidRPr="004B42B1">
        <w:rPr>
          <w:b/>
        </w:rPr>
        <w:t>ТЕХНИЧЕСКОЕ ЗАДАНИЕ</w:t>
      </w:r>
    </w:p>
    <w:p w14:paraId="67CD5247" w14:textId="3161FF2A" w:rsidR="004B42B1" w:rsidRPr="004B42B1" w:rsidRDefault="004B42B1" w:rsidP="004B42B1">
      <w:pPr>
        <w:jc w:val="center"/>
        <w:rPr>
          <w:b/>
        </w:rPr>
      </w:pPr>
      <w:r w:rsidRPr="004B42B1">
        <w:rPr>
          <w:b/>
        </w:rPr>
        <w:t xml:space="preserve">Выполнение работ по замене светильников дорожного и периметрального (охранного) освещения, шкафов учета и управления Нижегородской площадки </w:t>
      </w:r>
      <w:r>
        <w:rPr>
          <w:b/>
        </w:rPr>
        <w:t xml:space="preserve">              </w:t>
      </w:r>
      <w:r w:rsidRPr="004B42B1">
        <w:rPr>
          <w:b/>
        </w:rPr>
        <w:t>АО «</w:t>
      </w:r>
      <w:proofErr w:type="spellStart"/>
      <w:r w:rsidRPr="004B42B1">
        <w:rPr>
          <w:b/>
        </w:rPr>
        <w:t>НижКомАвто</w:t>
      </w:r>
      <w:proofErr w:type="spellEnd"/>
      <w:r w:rsidRPr="004B42B1">
        <w:rPr>
          <w:b/>
        </w:rPr>
        <w:t>»</w:t>
      </w:r>
    </w:p>
    <w:p w14:paraId="2ACCE28B" w14:textId="111BBCE0" w:rsidR="004B42B1" w:rsidRDefault="004B42B1"/>
    <w:p w14:paraId="5C34FEA5" w14:textId="68605AA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 xml:space="preserve">Цель проекта: </w:t>
      </w:r>
      <w:r w:rsidRPr="000E678E">
        <w:rPr>
          <w:rFonts w:ascii="Times New Roman" w:eastAsia="Times New Roman" w:hAnsi="Times New Roman"/>
          <w:lang w:eastAsia="ru-RU"/>
        </w:rPr>
        <w:t xml:space="preserve">повышение энергоэффективности и снижение затрат на электроэнергию, используемую для работы дорожного и периметрального освещения </w:t>
      </w:r>
      <w:bookmarkStart w:id="0" w:name="_GoBack"/>
      <w:bookmarkEnd w:id="0"/>
      <w:r w:rsidRPr="00021C07">
        <w:rPr>
          <w:rFonts w:ascii="Times New Roman" w:eastAsia="Times New Roman" w:hAnsi="Times New Roman"/>
          <w:lang w:eastAsia="ru-RU"/>
        </w:rPr>
        <w:t>Нижегородской производственной площадки</w:t>
      </w:r>
      <w:r w:rsidRPr="00021C07">
        <w:rPr>
          <w:rFonts w:ascii="Times New Roman" w:hAnsi="Times New Roman"/>
        </w:rPr>
        <w:t xml:space="preserve"> АО «</w:t>
      </w:r>
      <w:proofErr w:type="spellStart"/>
      <w:r w:rsidRPr="00021C07">
        <w:rPr>
          <w:rFonts w:ascii="Times New Roman" w:hAnsi="Times New Roman"/>
        </w:rPr>
        <w:t>НижКомАвто</w:t>
      </w:r>
      <w:proofErr w:type="spellEnd"/>
      <w:r w:rsidRPr="00021C07">
        <w:rPr>
          <w:rFonts w:ascii="Times New Roman" w:hAnsi="Times New Roman"/>
        </w:rPr>
        <w:t>»</w:t>
      </w:r>
      <w:r w:rsidR="00021C07" w:rsidRPr="00021C07">
        <w:rPr>
          <w:rFonts w:ascii="Times New Roman" w:hAnsi="Times New Roman"/>
        </w:rPr>
        <w:t>.</w:t>
      </w:r>
    </w:p>
    <w:p w14:paraId="7819E2C5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Комплекс мероприятий для достижения цели проекта: выполнение работ по замене (модернизации) системы дорожного и периметрального (охранного) освещения, шкафов учета и управления Нижегородской производственной площадки АО «</w:t>
      </w:r>
      <w:proofErr w:type="spellStart"/>
      <w:r w:rsidRPr="000E678E">
        <w:rPr>
          <w:rFonts w:ascii="Times New Roman" w:hAnsi="Times New Roman"/>
        </w:rPr>
        <w:t>НижКомАвто</w:t>
      </w:r>
      <w:proofErr w:type="spellEnd"/>
      <w:r w:rsidRPr="000E678E">
        <w:rPr>
          <w:rFonts w:ascii="Times New Roman" w:hAnsi="Times New Roman"/>
        </w:rPr>
        <w:t>» (далее – Объект).</w:t>
      </w:r>
    </w:p>
    <w:p w14:paraId="141D8FD0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Состав комплекса мероприятий:</w:t>
      </w:r>
    </w:p>
    <w:p w14:paraId="4D22D5EF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Выполнение проектно-изыскательских работ, в том числе:</w:t>
      </w:r>
    </w:p>
    <w:p w14:paraId="4C761494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предпроектное обследование на Объекте;</w:t>
      </w:r>
    </w:p>
    <w:p w14:paraId="69005B0A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разработка и согласование рабочей документации для подбора и поставки электротехнического оборудования и материалов, выполнения строительно-монтажных и пуско-наладочных работ;</w:t>
      </w:r>
    </w:p>
    <w:p w14:paraId="4DB17057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подготовка и согласование исполнительной документации и отчётов по результатам выполненных строительно-монтажных и пуско-наладочных работ.</w:t>
      </w:r>
    </w:p>
    <w:p w14:paraId="2B2F8E0D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Поставка электротехнического оборудования и материалов в соответствии с утвержденной рабочей документацией;</w:t>
      </w:r>
    </w:p>
    <w:p w14:paraId="5A695765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Выполнение строительно-монтажных и пуско-наладочных работ;</w:t>
      </w:r>
    </w:p>
    <w:p w14:paraId="164AB342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Выполнение мониторинга показателей эффективности после установки оборудования в течение согласованного срока гарантийных обязательств.</w:t>
      </w:r>
    </w:p>
    <w:p w14:paraId="4ACB9E3A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Сроки выполнения комплекса мероприятий: до 31.03.2025 г.</w:t>
      </w:r>
    </w:p>
    <w:p w14:paraId="0081FA34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Исходные данные по Объекту:</w:t>
      </w:r>
    </w:p>
    <w:p w14:paraId="15685C4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eastAsia="Times New Roman" w:hAnsi="Times New Roman"/>
          <w:lang w:eastAsia="ru-RU"/>
        </w:rPr>
        <w:t>Дорожное освещение предназначено для равномерного освещения территории предприятия (дорог и тротуаров) в течение темного времени суток.</w:t>
      </w:r>
    </w:p>
    <w:p w14:paraId="5FA90342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Периметральное (охранное) освещение обеспечивает освещенность объектов охраны, подступов к охраняемым объектам и местам несения службы личным составом подразделений охраны.</w:t>
      </w:r>
    </w:p>
    <w:p w14:paraId="71EEDCCB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Замене подлежат:</w:t>
      </w:r>
    </w:p>
    <w:p w14:paraId="739949C9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Существующие светильники с ртутными лампами, включая ПРА на трубчатых подвесах, длина подвеса до 2500 мм в количестве 1287 шт., в том числе:</w:t>
      </w:r>
    </w:p>
    <w:p w14:paraId="5AB08F8A" w14:textId="77777777" w:rsidR="000B0273" w:rsidRPr="000E678E" w:rsidRDefault="000B0273" w:rsidP="000B0273">
      <w:pPr>
        <w:ind w:left="720"/>
        <w:jc w:val="both"/>
        <w:rPr>
          <w:sz w:val="22"/>
        </w:rPr>
      </w:pPr>
      <w:r w:rsidRPr="000E678E">
        <w:rPr>
          <w:sz w:val="22"/>
        </w:rPr>
        <w:t>- ДРЛ 400 в количестве 277 шт., из них: 150 шт. ООО «НАК», 127 шт. ООО "АЗ "НАЗ";</w:t>
      </w:r>
    </w:p>
    <w:p w14:paraId="427F9426" w14:textId="77777777" w:rsidR="000B0273" w:rsidRPr="000E678E" w:rsidRDefault="000B0273" w:rsidP="000B0273">
      <w:pPr>
        <w:ind w:left="720"/>
        <w:jc w:val="both"/>
        <w:rPr>
          <w:sz w:val="22"/>
        </w:rPr>
      </w:pPr>
      <w:r w:rsidRPr="000E678E">
        <w:rPr>
          <w:sz w:val="22"/>
        </w:rPr>
        <w:t>- ДРЛ 250 в количестве 499 шт., из них: 304 шт. ООО «НАК», 195 шт. ООО "АЗ "НАЗ";</w:t>
      </w:r>
    </w:p>
    <w:p w14:paraId="336348AD" w14:textId="77777777" w:rsidR="000B0273" w:rsidRPr="000E678E" w:rsidRDefault="000B0273" w:rsidP="000B0273">
      <w:pPr>
        <w:ind w:left="720"/>
        <w:jc w:val="both"/>
        <w:rPr>
          <w:sz w:val="22"/>
        </w:rPr>
      </w:pPr>
      <w:r w:rsidRPr="000E678E">
        <w:rPr>
          <w:sz w:val="22"/>
        </w:rPr>
        <w:t>- ДРЛ 125 в количестве 511 шт., из них: 417 шт. ООО «НАК», 94 шт. ООО "АЗ "НАЗ";</w:t>
      </w:r>
    </w:p>
    <w:p w14:paraId="02E7EAA5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Существующие шкафы управления уличным освещением в количестве 37 шт., из них: 25 шт. ООО «НАК», 12 шт. ООО "АЗ "НАЗ";</w:t>
      </w:r>
    </w:p>
    <w:p w14:paraId="16216E99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Выполнение комплекса мероприятий не должно препятствовать осуществлению текущей производственной деятельности на Объекте, в условиях действующего предприятия с наличием в зоне производства разветвленной транспортной сети и инженерных коммуникаций.</w:t>
      </w:r>
    </w:p>
    <w:p w14:paraId="1B9C8EF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 реализации проекта используется существующая схема электроснабжения, зоной ответственности Подрядчика является клеммное соединение светильника, зажимы вводных и отходящих аппаратов групповых щитов освещения с автоматическими выключателями, реле и системами учёта электрической энергии. В случае необходимости производится замена питающего кабеля светильника от клеммного соединения до питающего провода на опоре (из расчёта 1 м кабеля на светильник). Заказчик гарантирует отсутствие посторонних потребителей электрической энергии на модернизируемых щитах рабочего освещения.</w:t>
      </w:r>
    </w:p>
    <w:p w14:paraId="60259117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Климатические особенности места установки элементов освещения:</w:t>
      </w:r>
    </w:p>
    <w:p w14:paraId="1C3C06C2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</w:rPr>
      </w:pPr>
      <w:r w:rsidRPr="000E678E">
        <w:rPr>
          <w:rFonts w:ascii="Times New Roman" w:hAnsi="Times New Roman"/>
          <w:szCs w:val="24"/>
          <w:lang w:val="x-none" w:eastAsia="ru-RU"/>
        </w:rPr>
        <w:t>Местонахождение:</w:t>
      </w:r>
      <w:r w:rsidRPr="000E678E">
        <w:rPr>
          <w:rFonts w:ascii="Times New Roman" w:hAnsi="Times New Roman"/>
          <w:szCs w:val="24"/>
          <w:lang w:val="x-none" w:eastAsia="ru-RU"/>
        </w:rPr>
        <w:tab/>
      </w:r>
      <w:r w:rsidRPr="000E678E">
        <w:rPr>
          <w:rFonts w:ascii="Times New Roman" w:hAnsi="Times New Roman"/>
          <w:szCs w:val="24"/>
          <w:lang w:eastAsia="ru-RU"/>
        </w:rPr>
        <w:t>Нижний Новгород;</w:t>
      </w:r>
    </w:p>
    <w:p w14:paraId="45DC0D6E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Минимальная температура:</w:t>
      </w:r>
      <w:r w:rsidRPr="000E678E">
        <w:rPr>
          <w:rFonts w:ascii="Times New Roman" w:hAnsi="Times New Roman"/>
        </w:rPr>
        <w:tab/>
        <w:t>- 40 °С;</w:t>
      </w:r>
    </w:p>
    <w:p w14:paraId="25FBFD58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Максимальная температура:</w:t>
      </w:r>
      <w:r w:rsidRPr="000E678E">
        <w:rPr>
          <w:rFonts w:ascii="Times New Roman" w:hAnsi="Times New Roman"/>
        </w:rPr>
        <w:tab/>
        <w:t>+ 34 °С.</w:t>
      </w:r>
    </w:p>
    <w:p w14:paraId="4F32DE47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lastRenderedPageBreak/>
        <w:t>Требования к выполнению проектно-изыскательских работ.</w:t>
      </w:r>
    </w:p>
    <w:p w14:paraId="6D86244E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eastAsia="Times New Roman" w:hAnsi="Times New Roman"/>
          <w:lang w:eastAsia="ru-RU"/>
        </w:rPr>
        <w:t xml:space="preserve">Подрядчик </w:t>
      </w:r>
      <w:r w:rsidRPr="000E678E">
        <w:rPr>
          <w:rFonts w:ascii="Times New Roman" w:eastAsia="Times New Roman" w:hAnsi="Times New Roman"/>
          <w:lang w:val="x-none" w:eastAsia="ru-RU"/>
        </w:rPr>
        <w:t>проводит предпроектное обследование с целью получения необходимых данных для разработки технического решения и рабочей документации</w:t>
      </w:r>
      <w:r w:rsidRPr="000E678E">
        <w:rPr>
          <w:rFonts w:ascii="Times New Roman" w:eastAsia="Times New Roman" w:hAnsi="Times New Roman"/>
          <w:lang w:eastAsia="ru-RU"/>
        </w:rPr>
        <w:t xml:space="preserve">, отображает на плане все </w:t>
      </w:r>
      <w:proofErr w:type="spellStart"/>
      <w:r w:rsidRPr="000E678E">
        <w:rPr>
          <w:rFonts w:ascii="Times New Roman" w:eastAsia="Times New Roman" w:hAnsi="Times New Roman"/>
          <w:lang w:eastAsia="ru-RU"/>
        </w:rPr>
        <w:t>светоточки</w:t>
      </w:r>
      <w:proofErr w:type="spellEnd"/>
      <w:r w:rsidRPr="000E678E">
        <w:rPr>
          <w:rFonts w:ascii="Times New Roman" w:eastAsia="Times New Roman" w:hAnsi="Times New Roman"/>
          <w:lang w:eastAsia="ru-RU"/>
        </w:rPr>
        <w:t xml:space="preserve"> подлежащие замене.</w:t>
      </w:r>
    </w:p>
    <w:p w14:paraId="4E2BAE5C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совместно с Заказчиком определяет координаты проведения контрольных замеров показателей освещенности в ходе предпроектного обследования, осуществляет замеры энергопотребления системы освещения до модернизации и после установки оборудования в течение согласованного срока гарантийных обязательств.</w:t>
      </w:r>
    </w:p>
    <w:p w14:paraId="7CCCDA2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обеспечивает максимально высокую технологическую эффективность представленного решения, автоматизацию включения и отключения освещения по времени суток, гарантирует надежность, как всего решения, так и отдельных его частей.</w:t>
      </w:r>
    </w:p>
    <w:p w14:paraId="59DA2F75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 состав рабочей и исполнительной документации включается:</w:t>
      </w:r>
    </w:p>
    <w:p w14:paraId="225B9052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 xml:space="preserve">Основные технические решения и план контролируемых </w:t>
      </w:r>
      <w:proofErr w:type="spellStart"/>
      <w:r w:rsidRPr="000E678E">
        <w:rPr>
          <w:rFonts w:ascii="Times New Roman" w:hAnsi="Times New Roman"/>
        </w:rPr>
        <w:t>светоточек</w:t>
      </w:r>
      <w:proofErr w:type="spellEnd"/>
      <w:r w:rsidRPr="000E678E">
        <w:rPr>
          <w:rFonts w:ascii="Times New Roman" w:hAnsi="Times New Roman"/>
        </w:rPr>
        <w:t>;</w:t>
      </w:r>
    </w:p>
    <w:p w14:paraId="2DBC5416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 xml:space="preserve">Светотехнические расчёты в программном комплексе </w:t>
      </w:r>
      <w:proofErr w:type="spellStart"/>
      <w:r w:rsidRPr="000E678E">
        <w:rPr>
          <w:rFonts w:ascii="Times New Roman" w:hAnsi="Times New Roman"/>
        </w:rPr>
        <w:t>DiaLux</w:t>
      </w:r>
      <w:proofErr w:type="spellEnd"/>
      <w:r w:rsidRPr="000E678E">
        <w:rPr>
          <w:rFonts w:ascii="Times New Roman" w:hAnsi="Times New Roman"/>
        </w:rPr>
        <w:t>;</w:t>
      </w:r>
    </w:p>
    <w:p w14:paraId="2CF28F9C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Рабочая документация (раздел ЭОМ);</w:t>
      </w:r>
    </w:p>
    <w:p w14:paraId="707C0F50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Проект производства работ и карта пусконаладочных работ;</w:t>
      </w:r>
    </w:p>
    <w:p w14:paraId="62646061" w14:textId="77777777" w:rsidR="000B0273" w:rsidRPr="000E678E" w:rsidRDefault="000B0273" w:rsidP="000B0273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Исполнительная документация по результатам строительно-монтажных работ и отчёты по результатам испытаний и пуско-наладочных работ.</w:t>
      </w:r>
    </w:p>
    <w:p w14:paraId="3FD24DDE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 xml:space="preserve">Светотехнические расчеты выполнить методом компьютерного моделирования в среде </w:t>
      </w:r>
      <w:proofErr w:type="spellStart"/>
      <w:r w:rsidRPr="000E678E">
        <w:rPr>
          <w:rFonts w:ascii="Times New Roman" w:hAnsi="Times New Roman"/>
        </w:rPr>
        <w:t>DiaLux</w:t>
      </w:r>
      <w:proofErr w:type="spellEnd"/>
      <w:r w:rsidRPr="000E678E">
        <w:rPr>
          <w:rFonts w:ascii="Times New Roman" w:hAnsi="Times New Roman"/>
        </w:rPr>
        <w:t>. В расчетах принять коэффициент эксплуатации (коэффициент запаса) равным 0,67.</w:t>
      </w:r>
    </w:p>
    <w:p w14:paraId="02021552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 результате реализации решения должен быть обеспечен минимальный уровень освещенности в соответствии с СП 52.13330.2016 (актуализированная редакция СНиП 23-05-95*)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900"/>
        <w:gridCol w:w="1148"/>
        <w:gridCol w:w="1148"/>
        <w:gridCol w:w="963"/>
        <w:gridCol w:w="1081"/>
        <w:gridCol w:w="1157"/>
        <w:gridCol w:w="1134"/>
        <w:gridCol w:w="1156"/>
      </w:tblGrid>
      <w:tr w:rsidR="000B0273" w:rsidRPr="000E678E" w14:paraId="6A3CA7E6" w14:textId="77777777" w:rsidTr="00550915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BD6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Класс объекта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830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Средняя яркость дорожного покрытия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L</w:t>
            </w:r>
            <w:r w:rsidRPr="000E678E">
              <w:rPr>
                <w:rFonts w:eastAsia="Calibri"/>
                <w:sz w:val="16"/>
                <w:szCs w:val="16"/>
                <w:vertAlign w:val="subscript"/>
              </w:rPr>
              <w:t>ср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>, кд/м</w:t>
            </w:r>
            <w:r w:rsidRPr="000E678E">
              <w:rPr>
                <w:rFonts w:eastAsia="Calibri"/>
                <w:sz w:val="16"/>
                <w:szCs w:val="16"/>
                <w:vertAlign w:val="superscript"/>
              </w:rPr>
              <w:t>2</w:t>
            </w:r>
            <w:r w:rsidRPr="000E678E">
              <w:rPr>
                <w:rFonts w:eastAsia="Calibri"/>
                <w:sz w:val="16"/>
                <w:szCs w:val="16"/>
              </w:rPr>
              <w:t xml:space="preserve">, не менее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A2A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Общая равномерность яркости дорожного покрытия </w:t>
            </w:r>
            <w:r w:rsidRPr="000E678E">
              <w:rPr>
                <w:rFonts w:eastAsia="Calibri"/>
                <w:i/>
                <w:iCs/>
                <w:sz w:val="16"/>
                <w:szCs w:val="16"/>
              </w:rPr>
              <w:t>U</w:t>
            </w:r>
            <w:r w:rsidRPr="000E678E">
              <w:rPr>
                <w:rFonts w:eastAsia="Calibri"/>
                <w:sz w:val="16"/>
                <w:szCs w:val="16"/>
                <w:vertAlign w:val="subscript"/>
              </w:rPr>
              <w:t>0</w:t>
            </w:r>
            <w:r w:rsidRPr="000E678E">
              <w:rPr>
                <w:rFonts w:eastAsia="Calibri"/>
                <w:sz w:val="16"/>
                <w:szCs w:val="16"/>
              </w:rPr>
              <w:t xml:space="preserve">, не менее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97F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Продольная равномерность яркости дорожного покрытия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U</w:t>
            </w:r>
            <w:r w:rsidRPr="000E678E">
              <w:rPr>
                <w:rFonts w:eastAsia="Calibri"/>
                <w:i/>
                <w:iCs/>
                <w:sz w:val="16"/>
                <w:szCs w:val="16"/>
                <w:vertAlign w:val="subscript"/>
              </w:rPr>
              <w:t>l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 xml:space="preserve">, не менее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79F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Пороговое приращение яркости </w:t>
            </w:r>
            <w:r w:rsidRPr="000E678E">
              <w:rPr>
                <w:rFonts w:eastAsia="Calibri"/>
                <w:i/>
                <w:iCs/>
                <w:sz w:val="16"/>
                <w:szCs w:val="16"/>
              </w:rPr>
              <w:t>TI</w:t>
            </w:r>
            <w:r w:rsidRPr="000E678E">
              <w:rPr>
                <w:rFonts w:eastAsia="Calibri"/>
                <w:sz w:val="16"/>
                <w:szCs w:val="16"/>
              </w:rPr>
              <w:t xml:space="preserve">, %, не более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101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Средняя освещенность дорожного покрытия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E</w:t>
            </w:r>
            <w:r w:rsidRPr="000E678E">
              <w:rPr>
                <w:rFonts w:eastAsia="Calibri"/>
                <w:sz w:val="16"/>
                <w:szCs w:val="16"/>
                <w:vertAlign w:val="subscript"/>
              </w:rPr>
              <w:t>ср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0E678E">
              <w:rPr>
                <w:rFonts w:eastAsia="Calibri"/>
                <w:sz w:val="16"/>
                <w:szCs w:val="16"/>
              </w:rPr>
              <w:t>лк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 xml:space="preserve">, не менее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D93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Равномерность освещенности дорожного покрытия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U</w:t>
            </w:r>
            <w:r w:rsidRPr="000E678E">
              <w:rPr>
                <w:rFonts w:eastAsia="Calibri"/>
                <w:i/>
                <w:iCs/>
                <w:sz w:val="16"/>
                <w:szCs w:val="16"/>
                <w:vertAlign w:val="subscript"/>
              </w:rPr>
              <w:t>h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 xml:space="preserve">, не менее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061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Коэффициент пульсации освещенности,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K</w:t>
            </w:r>
            <w:r w:rsidRPr="000E678E">
              <w:rPr>
                <w:rFonts w:eastAsia="Calibri"/>
                <w:sz w:val="16"/>
                <w:szCs w:val="16"/>
                <w:vertAlign w:val="subscript"/>
              </w:rPr>
              <w:t>п</w:t>
            </w:r>
            <w:proofErr w:type="spellEnd"/>
            <w:r w:rsidRPr="000E678E">
              <w:rPr>
                <w:rFonts w:eastAsia="Calibri"/>
                <w:i/>
                <w:iCs/>
                <w:sz w:val="16"/>
                <w:szCs w:val="16"/>
              </w:rPr>
              <w:t>,</w:t>
            </w:r>
            <w:r w:rsidRPr="000E678E">
              <w:rPr>
                <w:rFonts w:eastAsia="Calibri"/>
                <w:sz w:val="16"/>
                <w:szCs w:val="16"/>
              </w:rPr>
              <w:t xml:space="preserve"> %, не более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C5E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 xml:space="preserve">Относительная удельная мощность при нормируемой освещенности, </w:t>
            </w:r>
            <w:proofErr w:type="spellStart"/>
            <w:r w:rsidRPr="000E678E">
              <w:rPr>
                <w:rFonts w:eastAsia="Calibri"/>
                <w:i/>
                <w:iCs/>
                <w:sz w:val="16"/>
                <w:szCs w:val="16"/>
              </w:rPr>
              <w:t>D</w:t>
            </w:r>
            <w:r w:rsidRPr="000E678E">
              <w:rPr>
                <w:rFonts w:eastAsia="Calibri"/>
                <w:i/>
                <w:iCs/>
                <w:sz w:val="16"/>
                <w:szCs w:val="16"/>
                <w:vertAlign w:val="subscript"/>
              </w:rPr>
              <w:t>p</w:t>
            </w:r>
            <w:proofErr w:type="spellEnd"/>
            <w:r w:rsidRPr="000E678E">
              <w:rPr>
                <w:rFonts w:eastAsia="Calibri"/>
                <w:sz w:val="16"/>
                <w:szCs w:val="16"/>
              </w:rPr>
              <w:t>, мВт·м</w:t>
            </w:r>
            <w:r w:rsidRPr="000E678E">
              <w:rPr>
                <w:rFonts w:eastAsia="Calibri"/>
                <w:sz w:val="16"/>
                <w:szCs w:val="16"/>
                <w:vertAlign w:val="subscript"/>
              </w:rPr>
              <w:t>-</w:t>
            </w:r>
            <w:r w:rsidRPr="000E678E">
              <w:rPr>
                <w:rFonts w:eastAsia="Calibri"/>
                <w:sz w:val="16"/>
                <w:szCs w:val="16"/>
                <w:vertAlign w:val="superscript"/>
              </w:rPr>
              <w:t>2</w:t>
            </w:r>
            <w:r w:rsidRPr="000E678E">
              <w:rPr>
                <w:rFonts w:eastAsia="Calibri"/>
                <w:sz w:val="16"/>
                <w:szCs w:val="16"/>
              </w:rPr>
              <w:t>·лк</w:t>
            </w:r>
            <w:r w:rsidRPr="000E678E">
              <w:rPr>
                <w:rFonts w:eastAsia="Calibri"/>
                <w:sz w:val="16"/>
                <w:szCs w:val="16"/>
                <w:vertAlign w:val="superscript"/>
              </w:rPr>
              <w:t>-1</w:t>
            </w:r>
            <w:r w:rsidRPr="000E678E">
              <w:rPr>
                <w:rFonts w:eastAsia="Calibri"/>
                <w:sz w:val="16"/>
                <w:szCs w:val="16"/>
              </w:rPr>
              <w:t xml:space="preserve">, не более </w:t>
            </w:r>
          </w:p>
        </w:tc>
      </w:tr>
      <w:tr w:rsidR="000B0273" w:rsidRPr="000E678E" w14:paraId="4FD54A1E" w14:textId="77777777" w:rsidTr="00550915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62C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В3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3E0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0,40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9391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0,35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754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0,40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718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252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33E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0,25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13D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AB3" w14:textId="77777777" w:rsidR="000B0273" w:rsidRPr="000E678E" w:rsidRDefault="000B0273" w:rsidP="00550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E678E">
              <w:rPr>
                <w:rFonts w:eastAsia="Calibri"/>
                <w:sz w:val="16"/>
                <w:szCs w:val="16"/>
              </w:rPr>
              <w:t>50</w:t>
            </w:r>
          </w:p>
        </w:tc>
      </w:tr>
    </w:tbl>
    <w:p w14:paraId="4489375E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 подготовке рабочей документации учесть, что основные технические характеристики светотехнического оборудования должны соответствовать параметрам, приведенным в Таблице 1.</w:t>
      </w:r>
    </w:p>
    <w:p w14:paraId="5F1DDC26" w14:textId="77777777" w:rsidR="000B0273" w:rsidRPr="000E678E" w:rsidRDefault="000B0273" w:rsidP="000B0273">
      <w:pPr>
        <w:ind w:firstLine="851"/>
        <w:jc w:val="right"/>
        <w:rPr>
          <w:sz w:val="22"/>
        </w:rPr>
      </w:pPr>
      <w:r w:rsidRPr="000E678E">
        <w:rPr>
          <w:sz w:val="22"/>
        </w:rPr>
        <w:t>Таблица 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2"/>
        <w:gridCol w:w="2921"/>
        <w:gridCol w:w="1074"/>
        <w:gridCol w:w="3236"/>
        <w:gridCol w:w="1642"/>
      </w:tblGrid>
      <w:tr w:rsidR="000B0273" w:rsidRPr="000E678E" w14:paraId="4410EC5F" w14:textId="77777777" w:rsidTr="00550915">
        <w:trPr>
          <w:trHeight w:val="5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9731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jc w:val="center"/>
              <w:rPr>
                <w:b/>
                <w:sz w:val="20"/>
              </w:rPr>
            </w:pPr>
            <w:r w:rsidRPr="000E678E">
              <w:rPr>
                <w:b/>
                <w:sz w:val="20"/>
              </w:rPr>
              <w:t>№</w:t>
            </w:r>
            <w:r w:rsidRPr="000E678E">
              <w:rPr>
                <w:b/>
                <w:sz w:val="20"/>
              </w:rPr>
              <w:br/>
            </w:r>
            <w:proofErr w:type="spellStart"/>
            <w:r w:rsidRPr="000E678E">
              <w:rPr>
                <w:b/>
                <w:sz w:val="20"/>
              </w:rPr>
              <w:t>п.п</w:t>
            </w:r>
            <w:proofErr w:type="spellEnd"/>
            <w:r w:rsidRPr="000E678E">
              <w:rPr>
                <w:b/>
                <w:sz w:val="20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F02C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jc w:val="center"/>
              <w:rPr>
                <w:b/>
                <w:sz w:val="20"/>
              </w:rPr>
            </w:pPr>
            <w:r w:rsidRPr="000E678E">
              <w:rPr>
                <w:b/>
                <w:sz w:val="20"/>
              </w:rPr>
              <w:t>Наименование технических характеристик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26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jc w:val="center"/>
              <w:rPr>
                <w:b/>
                <w:sz w:val="20"/>
              </w:rPr>
            </w:pPr>
            <w:r w:rsidRPr="000E678E">
              <w:rPr>
                <w:b/>
                <w:sz w:val="20"/>
              </w:rPr>
              <w:t>Единицы измерения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5F3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jc w:val="center"/>
              <w:rPr>
                <w:b/>
                <w:sz w:val="20"/>
              </w:rPr>
            </w:pPr>
            <w:r w:rsidRPr="000E678E">
              <w:rPr>
                <w:b/>
                <w:sz w:val="20"/>
              </w:rPr>
              <w:t>Требуемое значение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8DC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jc w:val="center"/>
              <w:rPr>
                <w:b/>
                <w:sz w:val="20"/>
              </w:rPr>
            </w:pPr>
            <w:r w:rsidRPr="000E678E">
              <w:rPr>
                <w:b/>
                <w:sz w:val="20"/>
              </w:rPr>
              <w:t>Примечание</w:t>
            </w:r>
          </w:p>
        </w:tc>
      </w:tr>
      <w:tr w:rsidR="000B0273" w:rsidRPr="000E678E" w14:paraId="494C07C5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C862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99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 xml:space="preserve">Тип тока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414" w14:textId="77777777" w:rsidR="000B0273" w:rsidRPr="000E678E" w:rsidRDefault="000B0273" w:rsidP="00550915">
            <w:pPr>
              <w:tabs>
                <w:tab w:val="left" w:pos="681"/>
                <w:tab w:val="left" w:pos="5880"/>
              </w:tabs>
              <w:rPr>
                <w:sz w:val="20"/>
              </w:rPr>
            </w:pPr>
            <w:proofErr w:type="spellStart"/>
            <w:r w:rsidRPr="000E678E">
              <w:rPr>
                <w:sz w:val="20"/>
              </w:rPr>
              <w:t>перем</w:t>
            </w:r>
            <w:proofErr w:type="spellEnd"/>
            <w:r w:rsidRPr="000E678E">
              <w:rPr>
                <w:sz w:val="20"/>
              </w:rPr>
              <w:t>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FC64" w14:textId="77777777" w:rsidR="000B0273" w:rsidRPr="000E678E" w:rsidRDefault="000B0273" w:rsidP="00550915">
            <w:pPr>
              <w:tabs>
                <w:tab w:val="left" w:pos="681"/>
                <w:tab w:val="left" w:pos="5880"/>
              </w:tabs>
              <w:rPr>
                <w:sz w:val="20"/>
              </w:rPr>
            </w:pPr>
            <w:proofErr w:type="spellStart"/>
            <w:r w:rsidRPr="000E678E">
              <w:rPr>
                <w:sz w:val="20"/>
              </w:rPr>
              <w:t>перем</w:t>
            </w:r>
            <w:proofErr w:type="spellEnd"/>
            <w:r w:rsidRPr="000E678E">
              <w:rPr>
                <w:sz w:val="20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C1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44560C11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DE92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DE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Напряжение (U)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05C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В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8F9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180-245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94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 защитой от обрыва «ноля»</w:t>
            </w:r>
          </w:p>
        </w:tc>
      </w:tr>
      <w:tr w:rsidR="000B0273" w:rsidRPr="000E678E" w14:paraId="46463C41" w14:textId="77777777" w:rsidTr="00550915">
        <w:trPr>
          <w:trHeight w:val="20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D40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C61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Частота (f)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1BC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Гц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65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50±4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88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62FA2612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FB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4.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714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Коэффициент пульсации осветительных устройств (</w:t>
            </w:r>
            <w:proofErr w:type="spellStart"/>
            <w:r w:rsidRPr="000E678E">
              <w:rPr>
                <w:sz w:val="20"/>
              </w:rPr>
              <w:t>К</w:t>
            </w:r>
            <w:r w:rsidRPr="000E678E">
              <w:rPr>
                <w:sz w:val="20"/>
                <w:vertAlign w:val="subscript"/>
              </w:rPr>
              <w:t>п</w:t>
            </w:r>
            <w:proofErr w:type="spellEnd"/>
            <w:r w:rsidRPr="000E678E">
              <w:rPr>
                <w:sz w:val="20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986B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%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22BA" w14:textId="77777777" w:rsidR="000B0273" w:rsidRPr="000E678E" w:rsidRDefault="000B0273" w:rsidP="00550915">
            <w:pPr>
              <w:tabs>
                <w:tab w:val="left" w:pos="792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не более 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BF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таблица 1 СП 52.13330.2016</w:t>
            </w:r>
          </w:p>
        </w:tc>
      </w:tr>
      <w:tr w:rsidR="000B0273" w:rsidRPr="000E678E" w14:paraId="01986971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6DA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5.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5BC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Диапазон цветовой температуры (</w:t>
            </w:r>
            <w:proofErr w:type="spellStart"/>
            <w:r w:rsidRPr="000E678E">
              <w:rPr>
                <w:sz w:val="20"/>
              </w:rPr>
              <w:t>Т</w:t>
            </w:r>
            <w:r w:rsidRPr="000E678E">
              <w:rPr>
                <w:sz w:val="20"/>
                <w:vertAlign w:val="subscript"/>
              </w:rPr>
              <w:t>ц</w:t>
            </w:r>
            <w:proofErr w:type="spellEnd"/>
            <w:r w:rsidRPr="000E678E">
              <w:rPr>
                <w:sz w:val="20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4E7D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К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48C" w14:textId="77777777" w:rsidR="000B0273" w:rsidRPr="000E678E" w:rsidRDefault="000B0273" w:rsidP="00550915">
            <w:pPr>
              <w:tabs>
                <w:tab w:val="left" w:pos="792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4000-5000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A9C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СП 52.13330.2016</w:t>
            </w:r>
          </w:p>
        </w:tc>
      </w:tr>
      <w:tr w:rsidR="000B0273" w:rsidRPr="000E678E" w14:paraId="323B199A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49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6.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813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Индекс цветопередачи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54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proofErr w:type="spellStart"/>
            <w:r w:rsidRPr="000E678E">
              <w:rPr>
                <w:sz w:val="20"/>
              </w:rPr>
              <w:t>Ra</w:t>
            </w:r>
            <w:proofErr w:type="spellEnd"/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8BB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  <w:lang w:val="en-US"/>
              </w:rPr>
            </w:pPr>
            <w:r w:rsidRPr="000E678E">
              <w:rPr>
                <w:sz w:val="20"/>
              </w:rPr>
              <w:t>не менее 70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07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СП 52.13330.2016</w:t>
            </w:r>
          </w:p>
        </w:tc>
      </w:tr>
      <w:tr w:rsidR="000B0273" w:rsidRPr="000E678E" w14:paraId="03B9020E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0A7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7.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9F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Эффективность светового прибора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0827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Лм/</w:t>
            </w:r>
            <w:proofErr w:type="spellStart"/>
            <w:r w:rsidRPr="000E678E">
              <w:rPr>
                <w:sz w:val="20"/>
              </w:rPr>
              <w:t>вт</w:t>
            </w:r>
            <w:proofErr w:type="spellEnd"/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07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не менее 110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37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1692672C" w14:textId="77777777" w:rsidTr="00550915">
        <w:trPr>
          <w:trHeight w:val="1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3A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8.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F90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Степень защиты светильников (IP)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246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-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0461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  <w:lang w:val="en-US"/>
              </w:rPr>
            </w:pPr>
            <w:r w:rsidRPr="000E678E">
              <w:rPr>
                <w:sz w:val="20"/>
              </w:rPr>
              <w:t xml:space="preserve">Не менее </w:t>
            </w:r>
            <w:r w:rsidRPr="000E678E">
              <w:rPr>
                <w:sz w:val="20"/>
                <w:lang w:val="en-US"/>
              </w:rPr>
              <w:t>IP65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4C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39E75C3E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929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9.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CE4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Тип Кривой Силы Света по ГОСТ Р 54350-2015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13F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269B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Светильники должны иметь вторичную оптику, формирующую кривую силы света тип 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568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52C95DF6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789B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10.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DA7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Срок службы светильников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FA2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450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не менее 10 лет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F8B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45E4EC88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7BD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11.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A51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Возможность эксплуатировать светильник при аварийных ситуациях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927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846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Светильник должен сохранять работоспособность при повышении напряжения в сети питания переменного тока до 400 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6C7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1EF7DAB7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7E2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12.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B812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Используемая технология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64D5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-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E23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светодиоды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560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  <w:tr w:rsidR="000B0273" w:rsidRPr="000E678E" w14:paraId="016740B5" w14:textId="77777777" w:rsidTr="0055091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541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lastRenderedPageBreak/>
              <w:t>13.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FFC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Количество световых приборов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A6D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шт.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064E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  <w:r w:rsidRPr="000E678E">
              <w:rPr>
                <w:sz w:val="20"/>
              </w:rPr>
              <w:t>определить проектом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EF4" w14:textId="77777777" w:rsidR="000B0273" w:rsidRPr="000E678E" w:rsidRDefault="000B0273" w:rsidP="00550915">
            <w:pPr>
              <w:tabs>
                <w:tab w:val="left" w:pos="600"/>
                <w:tab w:val="left" w:pos="5880"/>
              </w:tabs>
              <w:rPr>
                <w:sz w:val="20"/>
              </w:rPr>
            </w:pPr>
          </w:p>
        </w:tc>
      </w:tr>
    </w:tbl>
    <w:p w14:paraId="712A1FF7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 разработке основных технических решений и рабочей документации определить:</w:t>
      </w:r>
    </w:p>
    <w:p w14:paraId="78193A1E" w14:textId="77777777" w:rsidR="000B0273" w:rsidRPr="000E678E" w:rsidRDefault="000B0273" w:rsidP="000B0273">
      <w:pPr>
        <w:pStyle w:val="a3"/>
        <w:numPr>
          <w:ilvl w:val="2"/>
          <w:numId w:val="1"/>
        </w:numPr>
        <w:spacing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Мощность (характеристики силовой части и защитной аппаратуры), количество, месторасположение, производитель комплектующих шкафов управления системой освещения и учёта потребляемой электроэнергии;</w:t>
      </w:r>
    </w:p>
    <w:p w14:paraId="7AD79225" w14:textId="77777777" w:rsidR="000B0273" w:rsidRPr="000E678E" w:rsidRDefault="000B0273" w:rsidP="000B0273">
      <w:pPr>
        <w:pStyle w:val="a3"/>
        <w:numPr>
          <w:ilvl w:val="2"/>
          <w:numId w:val="1"/>
        </w:numPr>
        <w:spacing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Принципиальные схемы шкафов управления системой освещения и учёта потребляемой электроэнергии;</w:t>
      </w:r>
    </w:p>
    <w:p w14:paraId="3B0EA262" w14:textId="77777777" w:rsidR="000B0273" w:rsidRPr="000E678E" w:rsidRDefault="000B0273" w:rsidP="000B0273">
      <w:pPr>
        <w:pStyle w:val="a3"/>
        <w:numPr>
          <w:ilvl w:val="2"/>
          <w:numId w:val="1"/>
        </w:numPr>
        <w:spacing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Марку, сечение, длину кабельных линий;</w:t>
      </w:r>
    </w:p>
    <w:p w14:paraId="3B7856B4" w14:textId="77777777" w:rsidR="000B0273" w:rsidRPr="000E678E" w:rsidRDefault="000B0273" w:rsidP="000B0273">
      <w:pPr>
        <w:pStyle w:val="a3"/>
        <w:numPr>
          <w:ilvl w:val="2"/>
          <w:numId w:val="1"/>
        </w:numPr>
        <w:spacing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Номинальные параметры автоматических выключателей;</w:t>
      </w:r>
    </w:p>
    <w:p w14:paraId="12A30DB6" w14:textId="77777777" w:rsidR="000B0273" w:rsidRPr="000E678E" w:rsidRDefault="000B0273" w:rsidP="000B0273">
      <w:pPr>
        <w:pStyle w:val="a3"/>
        <w:numPr>
          <w:ilvl w:val="2"/>
          <w:numId w:val="1"/>
        </w:numPr>
        <w:spacing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Количество приборов учёта с классом точности не ниже 0,5 в зависимости от количества зон управления освещением.</w:t>
      </w:r>
    </w:p>
    <w:p w14:paraId="1451BC3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 разработке основных технических решений и рабочей документации предусмотреть:</w:t>
      </w:r>
    </w:p>
    <w:p w14:paraId="1EAD3257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Компоновку оборудования;</w:t>
      </w:r>
    </w:p>
    <w:p w14:paraId="7570F038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Конструктивные решения в соответствии с видами выбранного электрооборудования;</w:t>
      </w:r>
    </w:p>
    <w:p w14:paraId="08BC9287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Технические требования к выбираемому оборудованию и возможности его применения на объекте, включая электрические параметры;</w:t>
      </w:r>
    </w:p>
    <w:p w14:paraId="454DF406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Управление оборудованием в ручном режиме и в автоматическом от действия фотореле;</w:t>
      </w:r>
    </w:p>
    <w:p w14:paraId="5A975FBF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Наличие в конструкции светильников оптической системы, отвечающей за правильное распределение светового потока;</w:t>
      </w:r>
    </w:p>
    <w:p w14:paraId="7C410CDB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Для достижения равномерности светового потока предусмотреть изменение конструкции или замену кронштейнов;</w:t>
      </w:r>
    </w:p>
    <w:p w14:paraId="66973208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Установку автоматических выключателей, приборов учета электроэнергии, пускателей со сроком службы не менее 10 лет.</w:t>
      </w:r>
    </w:p>
    <w:p w14:paraId="51673C24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Требования к оборудованию.</w:t>
      </w:r>
    </w:p>
    <w:p w14:paraId="007B05C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должен гарантировать выполнение основных требований к применяемому им оборудованию, указанных в разрабатываем технической спецификации, документации и в настоящем Техническом задании.</w:t>
      </w:r>
    </w:p>
    <w:p w14:paraId="0A9853F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Все поставляемое и монтируемое оборудование должно быть новым, произведенным на территории РФ, сертифицированным и должно соответствовать требованиям норм и правил, действующих на территории Российской Федерации (РФ). Все материалы и оборудование должны быть промаркированы и иметь соответствующие сертификаты, технические паспорта и другие документы, удостоверяющие их качество. Подрядчик обязан предоставить Заказчику копии документов на свое оборудование, установленное на Объекте, при вводе оборудования в эксплуатацию либо при необходимости по запросу Заказчика до его подписания.</w:t>
      </w:r>
    </w:p>
    <w:p w14:paraId="10DA13EF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Требования к выполнению строительно-монтажных работ.</w:t>
      </w:r>
    </w:p>
    <w:p w14:paraId="193B77B4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 объём строительно-монтажных работ Подрядчика входит:</w:t>
      </w:r>
    </w:p>
    <w:p w14:paraId="196BF53E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Демонтаж существующих светильников с ртутными лампами, включая ПРА на трубчатых подвесах, длина подвеса до 2500 мм в количестве 1287 шт.</w:t>
      </w:r>
    </w:p>
    <w:p w14:paraId="5DAC1A3C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Демонтаж отпаек от магистрального провода до светильников в количестве 1287 шт., из них: 871 шт. ООО «НАК», 416 шт. ООО "АЗ "НАЗ";</w:t>
      </w:r>
    </w:p>
    <w:p w14:paraId="2E7755AA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Демонтаж существующих шкафов управления уличным освещением в количестве 37 шт., из них: 25 шт. ООО «НАК», 12 шт. ООО "АЗ "НАЗ";</w:t>
      </w:r>
    </w:p>
    <w:p w14:paraId="331E1F18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Погрузка, разгрузка, перевозка демонтированного оборудования;</w:t>
      </w:r>
    </w:p>
    <w:p w14:paraId="259BA85F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Монтаж светодиодных светильников на существующих трубчатых подвесах в количестве 1287 шт.;</w:t>
      </w:r>
    </w:p>
    <w:p w14:paraId="5F971761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Монтаж провода от магистральных отпаек до вновь монтируемых светильников;</w:t>
      </w:r>
    </w:p>
    <w:p w14:paraId="4268E065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Проведение сборки и монтажа шкафов управления уличным освещением в количестве 37 шт., из них: 25 шт. ООО «НАК», 12 шт. ООО "АЗ "НАЗ";</w:t>
      </w:r>
    </w:p>
    <w:p w14:paraId="4C755BB5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Проведение монтажа светодиодных светильников в количестве 1287 шт. (из них: 871 шт. ООО «НАК», 416 шт. ООО "АЗ "НАЗ");</w:t>
      </w:r>
    </w:p>
    <w:p w14:paraId="4D4C008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lastRenderedPageBreak/>
        <w:t>Подрядчик обязан осуществить подготовку к передаче и передать Заказчику по акту приема-передачи демонтированное оборудование Заказчика в месте его нахождения. Демонтаж оборудования должен осуществляться таким образом, чтобы, при наличии возможности, обеспечить сохранность демонтируемого оборудования.</w:t>
      </w:r>
    </w:p>
    <w:p w14:paraId="77BC0EDB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должен организовать утилизацию отработанных ртутьсодержащих ламп в соответствии с требованиями Федерального закона от 24.06.1998 №89-ФЗ "Об отходах производства и потребления".</w:t>
      </w:r>
    </w:p>
    <w:p w14:paraId="0492D80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До начала строительно-монтажных работ и на основании утвержденной рабочей документации Подрядчик производит закупку и поставку до места проведения работ светодиодных светильников, силового провода для осуществления отпайки от магистрального провода до светильников, шкафов управления уличным освещением, с системой автоматического включения и учёта электрической энергии.</w:t>
      </w:r>
    </w:p>
    <w:p w14:paraId="107650C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Светильники должны быть смонтированы согласно разработанному проекту. Возможно использование мест креплений демонтируемых светильников.</w:t>
      </w:r>
    </w:p>
    <w:p w14:paraId="26047ED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проводит пусконаладочные работы, гарантийные испытания и вводит оборудование в эксплуатацию.</w:t>
      </w:r>
    </w:p>
    <w:p w14:paraId="1581B9B9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выполняет электромонтажные работы, в т.ч. демонтаж Старого оборудования и монтаж Нового оборудования, соблюдая общие Правила безопасности проведения работ на объекте и внутренние правила Заказчика, принятые на Объекте. При выполнении работ Подрядчик обязан руководствоваться техническими условиями и инструкциями заводов-изготовителей материалов, изделий, оборудования, технологическими картами и схемами операционного контроля качества.</w:t>
      </w:r>
    </w:p>
    <w:p w14:paraId="2CBE9E9D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При выполнении пусконаладочных работ Подрядчик обеспечивает:</w:t>
      </w:r>
    </w:p>
    <w:p w14:paraId="27D7AD8D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Замер освещенности объектов охраны, подступов к охраняемым объектам и местам несения службы личным составом подразделений охраны, предоставление отчета;</w:t>
      </w:r>
    </w:p>
    <w:p w14:paraId="1829BCC3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 xml:space="preserve">Замер освещенности зон визуального контроля видеокамер на уровне земли (полоса шириной 4 м) или на плоскости ограждения (не менее 0,5 </w:t>
      </w:r>
      <w:proofErr w:type="spellStart"/>
      <w:r w:rsidRPr="000E678E">
        <w:rPr>
          <w:rFonts w:ascii="Times New Roman" w:hAnsi="Times New Roman"/>
        </w:rPr>
        <w:t>лк</w:t>
      </w:r>
      <w:proofErr w:type="spellEnd"/>
      <w:r w:rsidRPr="000E678E">
        <w:rPr>
          <w:rFonts w:ascii="Times New Roman" w:hAnsi="Times New Roman"/>
        </w:rPr>
        <w:t xml:space="preserve"> в темное время суток), предоставление отчета;</w:t>
      </w:r>
    </w:p>
    <w:p w14:paraId="143B43B5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Опробование автоматики включения (отключения) в зависимости от времени суток, предоставление отчета;</w:t>
      </w:r>
    </w:p>
    <w:p w14:paraId="40A13971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Измерение сопротивления изоляции, предоставление отчета;</w:t>
      </w:r>
    </w:p>
    <w:p w14:paraId="042570DB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Проверка действия расцепителей автоматических выключателей, предоставление отчета;</w:t>
      </w:r>
    </w:p>
    <w:p w14:paraId="2B673C01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Измерение тока КЗ на концах защищаемых линий, предоставление отчета.</w:t>
      </w:r>
    </w:p>
    <w:p w14:paraId="3275BFEA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обязан обучить персонал Заказчика на территории Заказчика требованиям к эксплуатации, сохранению, восстановлению оборудования, находящегося на территории Заказчика, в случае аварий. Стоимость обучения включена в стоимость работ. Обучение проводится один раз по окончании пуско-наладочных работ в сроки, согласованные с Заказчиком, продолжительность обучения составляет 48 академических часов. Количество обучаемых сотрудников определяется Заказчиком самостоятельно.</w:t>
      </w:r>
    </w:p>
    <w:p w14:paraId="6A504DC5" w14:textId="77777777" w:rsidR="000B0273" w:rsidRPr="000E678E" w:rsidRDefault="000B0273" w:rsidP="000B027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Гарантийные требования и показатели проекта.</w:t>
      </w:r>
    </w:p>
    <w:p w14:paraId="25C46FA3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Срок гарантии на используемое Подрядчиком светотехническое оборудование (светодиодные светильники) должен составлять не менее 84 месяца со дня ввода в эксплуатацию осветительных устройств. Срок гарантии продлевается на срок проведения ремонтных работ, мероприятий по устранению недостатков.</w:t>
      </w:r>
    </w:p>
    <w:p w14:paraId="7BFB775C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в течение 48 месяцев с момента ввода в эксплуатацию модернизированных систем освещения осуществляет техническое обслуживание этих систем, в том числе:</w:t>
      </w:r>
    </w:p>
    <w:p w14:paraId="791EF8A2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Осмотры (не реже 1 раза в год) дорожного и охранного освещения:</w:t>
      </w:r>
    </w:p>
    <w:p w14:paraId="34355491" w14:textId="77777777" w:rsidR="000B0273" w:rsidRPr="000E678E" w:rsidRDefault="000B0273" w:rsidP="000B0273">
      <w:pPr>
        <w:ind w:firstLine="1276"/>
        <w:jc w:val="both"/>
      </w:pPr>
      <w:r w:rsidRPr="000E678E">
        <w:t>- проверка противопожарного состояния трассы;</w:t>
      </w:r>
    </w:p>
    <w:p w14:paraId="7CF9FFEF" w14:textId="77777777" w:rsidR="000B0273" w:rsidRPr="000E678E" w:rsidRDefault="000B0273" w:rsidP="000B0273">
      <w:pPr>
        <w:ind w:firstLine="1276"/>
        <w:jc w:val="both"/>
      </w:pPr>
      <w:r w:rsidRPr="000E678E">
        <w:t>- устранение дефектов, не требующих для ликвидации отключения воздушной линии;</w:t>
      </w:r>
    </w:p>
    <w:p w14:paraId="1DDC7C0C" w14:textId="77777777" w:rsidR="000B0273" w:rsidRPr="000E678E" w:rsidRDefault="000B0273" w:rsidP="000B0273">
      <w:pPr>
        <w:ind w:firstLine="1276"/>
        <w:jc w:val="both"/>
      </w:pPr>
      <w:r w:rsidRPr="000E678E">
        <w:t>- постоянный контроль соответствия сетей фактическим нагрузкам;</w:t>
      </w:r>
    </w:p>
    <w:p w14:paraId="2E8F9487" w14:textId="77777777" w:rsidR="000B0273" w:rsidRPr="000E678E" w:rsidRDefault="000B0273" w:rsidP="000B0273">
      <w:pPr>
        <w:ind w:firstLine="1276"/>
        <w:jc w:val="both"/>
      </w:pPr>
      <w:r w:rsidRPr="000E678E">
        <w:t>- проверка наличия обрывов, набросов, определение провеса проводов;</w:t>
      </w:r>
    </w:p>
    <w:p w14:paraId="5541D369" w14:textId="77777777" w:rsidR="000B0273" w:rsidRPr="000E678E" w:rsidRDefault="000B0273" w:rsidP="000B0273">
      <w:pPr>
        <w:ind w:firstLine="1276"/>
        <w:jc w:val="both"/>
      </w:pPr>
      <w:r w:rsidRPr="000E678E">
        <w:t>- удаление из-под проводов посторонних предметов;</w:t>
      </w:r>
    </w:p>
    <w:p w14:paraId="59585137" w14:textId="77777777" w:rsidR="000B0273" w:rsidRPr="000E678E" w:rsidRDefault="000B0273" w:rsidP="000B0273">
      <w:pPr>
        <w:ind w:firstLine="1276"/>
        <w:jc w:val="both"/>
      </w:pPr>
      <w:r w:rsidRPr="000E678E">
        <w:lastRenderedPageBreak/>
        <w:t>- наблюдение за нагревом контактов и проводов;</w:t>
      </w:r>
    </w:p>
    <w:p w14:paraId="2C307E4D" w14:textId="77777777" w:rsidR="000B0273" w:rsidRPr="000E678E" w:rsidRDefault="000B0273" w:rsidP="000B0273">
      <w:pPr>
        <w:ind w:firstLine="1276"/>
        <w:jc w:val="both"/>
      </w:pPr>
      <w:r w:rsidRPr="000E678E">
        <w:t>- проверка состояния коммуникационной аппаратуры дорожного и охранного освещения;</w:t>
      </w:r>
    </w:p>
    <w:p w14:paraId="5B6A2936" w14:textId="77777777" w:rsidR="000B0273" w:rsidRPr="000E678E" w:rsidRDefault="000B0273" w:rsidP="000B0273">
      <w:pPr>
        <w:ind w:firstLine="1276"/>
        <w:jc w:val="both"/>
      </w:pPr>
      <w:r w:rsidRPr="000E678E">
        <w:t>- проверка целостности заземляющих проводов;</w:t>
      </w:r>
    </w:p>
    <w:p w14:paraId="12BBE346" w14:textId="77777777" w:rsidR="000B0273" w:rsidRPr="000E678E" w:rsidRDefault="000B0273" w:rsidP="000B0273">
      <w:pPr>
        <w:ind w:firstLine="1276"/>
        <w:jc w:val="both"/>
      </w:pPr>
      <w:r w:rsidRPr="000E678E">
        <w:t>- принятие немедленных мер при аварийных ситуациях.</w:t>
      </w:r>
    </w:p>
    <w:p w14:paraId="4D0AA210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Проведение оперативных переключений дорожного и охранного освещения:</w:t>
      </w:r>
    </w:p>
    <w:p w14:paraId="2BF80B0B" w14:textId="77777777" w:rsidR="000B0273" w:rsidRPr="000E678E" w:rsidRDefault="000B0273" w:rsidP="000B0273">
      <w:pPr>
        <w:ind w:firstLine="1276"/>
        <w:jc w:val="both"/>
      </w:pPr>
      <w:r w:rsidRPr="000E678E">
        <w:t>- при выводе в ремонт электрооборудования дорожного и охранного освещения;</w:t>
      </w:r>
    </w:p>
    <w:p w14:paraId="65CC668E" w14:textId="77777777" w:rsidR="000B0273" w:rsidRPr="000E678E" w:rsidRDefault="000B0273" w:rsidP="000B0273">
      <w:pPr>
        <w:ind w:firstLine="1276"/>
        <w:jc w:val="both"/>
      </w:pPr>
      <w:r w:rsidRPr="000E678E">
        <w:t>- при устранении обрыва проводов в ночное время во избежание возникновения несчастных случаев.</w:t>
      </w:r>
    </w:p>
    <w:p w14:paraId="6D875350" w14:textId="77777777" w:rsidR="000B0273" w:rsidRPr="000E678E" w:rsidRDefault="000B0273" w:rsidP="000B0273">
      <w:pPr>
        <w:pStyle w:val="a3"/>
        <w:numPr>
          <w:ilvl w:val="2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Ремонт (не реже 1 раза в 6 месяцев) дорожного и охранного освещения:</w:t>
      </w:r>
    </w:p>
    <w:p w14:paraId="7B941C52" w14:textId="77777777" w:rsidR="000B0273" w:rsidRPr="000E678E" w:rsidRDefault="000B0273" w:rsidP="000B0273">
      <w:pPr>
        <w:ind w:firstLine="1276"/>
        <w:jc w:val="both"/>
      </w:pPr>
      <w:r w:rsidRPr="000E678E">
        <w:t>- подтяжка сетей, упорядочение их раскладки;</w:t>
      </w:r>
    </w:p>
    <w:p w14:paraId="7C0F6428" w14:textId="77777777" w:rsidR="000B0273" w:rsidRPr="000E678E" w:rsidRDefault="000B0273" w:rsidP="000B0273">
      <w:pPr>
        <w:ind w:firstLine="1276"/>
        <w:jc w:val="both"/>
      </w:pPr>
      <w:r w:rsidRPr="000E678E">
        <w:t>- замена тросов и растяжек (при необходимости);</w:t>
      </w:r>
    </w:p>
    <w:p w14:paraId="758241CC" w14:textId="77777777" w:rsidR="000B0273" w:rsidRPr="000E678E" w:rsidRDefault="000B0273" w:rsidP="000B0273">
      <w:pPr>
        <w:ind w:firstLine="1276"/>
        <w:jc w:val="both"/>
      </w:pPr>
      <w:r w:rsidRPr="000E678E">
        <w:t>- замена вышедших из строя ламп, светильников;</w:t>
      </w:r>
    </w:p>
    <w:p w14:paraId="21232546" w14:textId="77777777" w:rsidR="000B0273" w:rsidRPr="000E678E" w:rsidRDefault="000B0273" w:rsidP="000B0273">
      <w:pPr>
        <w:ind w:firstLine="1276"/>
        <w:jc w:val="both"/>
      </w:pPr>
      <w:r w:rsidRPr="000E678E">
        <w:t>- осмотр, ремонт, замена вышедших из строя отдельных элементов коммутационной аппаратуры (автоматических выключателей, контакторов, пускателей);</w:t>
      </w:r>
    </w:p>
    <w:p w14:paraId="5C59B323" w14:textId="77777777" w:rsidR="000B0273" w:rsidRPr="000E678E" w:rsidRDefault="000B0273" w:rsidP="000B0273">
      <w:pPr>
        <w:ind w:firstLine="1276"/>
        <w:jc w:val="both"/>
      </w:pPr>
      <w:r w:rsidRPr="000E678E">
        <w:t>- замена скоб и креплений (при необходимости);</w:t>
      </w:r>
    </w:p>
    <w:p w14:paraId="783A3534" w14:textId="77777777" w:rsidR="000B0273" w:rsidRPr="000E678E" w:rsidRDefault="000B0273" w:rsidP="000B0273">
      <w:pPr>
        <w:ind w:firstLine="1276"/>
        <w:jc w:val="both"/>
      </w:pPr>
      <w:r w:rsidRPr="000E678E">
        <w:t>- исправление подвесок, кронштейнов, подтяжка болтовых соединений;</w:t>
      </w:r>
    </w:p>
    <w:p w14:paraId="6C1816E1" w14:textId="77777777" w:rsidR="000B0273" w:rsidRPr="000E678E" w:rsidRDefault="000B0273" w:rsidP="000B0273">
      <w:pPr>
        <w:ind w:firstLine="1276"/>
        <w:jc w:val="both"/>
      </w:pPr>
      <w:r w:rsidRPr="000E678E">
        <w:t>- проверка надежности и усиление подвесок светильников (при необходимости);</w:t>
      </w:r>
    </w:p>
    <w:p w14:paraId="7332B3D7" w14:textId="77777777" w:rsidR="000B0273" w:rsidRPr="000E678E" w:rsidRDefault="000B0273" w:rsidP="000B0273">
      <w:pPr>
        <w:ind w:firstLine="1276"/>
        <w:jc w:val="both"/>
      </w:pPr>
      <w:r w:rsidRPr="000E678E">
        <w:t>- перезарядка проводов в светильниках (при необходимости);</w:t>
      </w:r>
    </w:p>
    <w:p w14:paraId="7B2A33EA" w14:textId="77777777" w:rsidR="000B0273" w:rsidRPr="000E678E" w:rsidRDefault="000B0273" w:rsidP="000B0273">
      <w:pPr>
        <w:ind w:firstLine="1276"/>
        <w:jc w:val="both"/>
      </w:pPr>
      <w:r w:rsidRPr="000E678E">
        <w:t>- измерение сопротивления заземлений;</w:t>
      </w:r>
    </w:p>
    <w:p w14:paraId="1D169F1B" w14:textId="77777777" w:rsidR="000B0273" w:rsidRPr="000E678E" w:rsidRDefault="000B0273" w:rsidP="000B0273">
      <w:pPr>
        <w:ind w:firstLine="1276"/>
        <w:jc w:val="both"/>
      </w:pPr>
      <w:r w:rsidRPr="000E678E">
        <w:t>- контрольные замеры показателей освещенности.</w:t>
      </w:r>
    </w:p>
    <w:p w14:paraId="07E29578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Подрядчиком должны быть учтены затраты на замену оборудования силами Подрядчика в течение срока технического обслуживания.</w:t>
      </w:r>
    </w:p>
    <w:p w14:paraId="1A8CDB16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Подрядчик должен организовать прием заявок по вопросам работы дорожного и периметрального уличного освещения. Силами собственного оперативного персонала Подрядчик в своих границах ответственности должен организовать восстановление работоспособности системы освещения (в т.ч. отдельных элементов) и замену вышедшего из строя оборудования в течение 48 часов с момента получения заявки.</w:t>
      </w:r>
    </w:p>
    <w:p w14:paraId="28BDA134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Минимальный уровень освещенности должен соответствовать СП 52.13330.2016 (актуализированная редакция СНиП 23-05-95*).</w:t>
      </w:r>
    </w:p>
    <w:p w14:paraId="0DDE02F0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Размер экономии электроэнергии от существующего уровня потребления электроэнергии должен составлять не менее 70%. Размер экономии должен подтверждаться фактическими замерами потребления электроэнергии после установки оборудования в течение согласованного срока гарантийных обязательств.</w:t>
      </w:r>
    </w:p>
    <w:p w14:paraId="192369C3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В случае недостижения одного или нескольких гарантийных показателей предложенное Подрядчиком решение подлежит доработке или замене за счет Подрядчика. Реализация доработанного решения должна входить в стоимость Услуг и обеспечить достижение гарантийных показателей. Сроки внедрения доработанного решения не должны превышать 3 месяца от момента их выявления.</w:t>
      </w:r>
    </w:p>
    <w:p w14:paraId="7E9D16A2" w14:textId="77777777" w:rsidR="000B0273" w:rsidRPr="000E678E" w:rsidRDefault="000B0273" w:rsidP="000B027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0E678E">
        <w:rPr>
          <w:rFonts w:ascii="Times New Roman" w:hAnsi="Times New Roman"/>
        </w:rPr>
        <w:t>Число отказов должно составлять не более 10% от общего количества установленного оборудования при времени наработки не менее 5000 ч. При единовременном выходе из строя более 10% светильников из одной партии, гарантийной замене подлежит вся партия.</w:t>
      </w:r>
    </w:p>
    <w:p w14:paraId="702990B3" w14:textId="77777777" w:rsidR="004B42B1" w:rsidRDefault="004B42B1" w:rsidP="000B0273">
      <w:pPr>
        <w:pStyle w:val="a3"/>
        <w:spacing w:before="120" w:after="120" w:line="240" w:lineRule="auto"/>
        <w:ind w:left="567"/>
        <w:contextualSpacing w:val="0"/>
        <w:jc w:val="both"/>
      </w:pPr>
    </w:p>
    <w:sectPr w:rsidR="004B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8B6"/>
    <w:multiLevelType w:val="multilevel"/>
    <w:tmpl w:val="C122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A66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6"/>
    <w:rsid w:val="00021C07"/>
    <w:rsid w:val="000B0273"/>
    <w:rsid w:val="004B42B1"/>
    <w:rsid w:val="009351FC"/>
    <w:rsid w:val="00B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6BB9"/>
  <w15:chartTrackingRefBased/>
  <w15:docId w15:val="{8F60AC02-4AF5-422E-8991-7719299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ет 1,Bullet List,numbered,FooterText,Bullet Number,Нумерованый список,List Paragraph1,lp1,lp11,List Paragraph11,Bullet 1,Use Case List Paragraph,Paragraphe de liste1,Абзац списка4,Маркер,Абзац маркированнный,UL,1. Абзац списка"/>
    <w:basedOn w:val="a"/>
    <w:link w:val="a4"/>
    <w:uiPriority w:val="34"/>
    <w:qFormat/>
    <w:rsid w:val="004B4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3"/>
    <w:uiPriority w:val="34"/>
    <w:locked/>
    <w:rsid w:val="004B42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Екатерина Николаевна</dc:creator>
  <cp:keywords/>
  <dc:description/>
  <cp:lastModifiedBy>Данилова Екатерина Николаевна</cp:lastModifiedBy>
  <cp:revision>4</cp:revision>
  <dcterms:created xsi:type="dcterms:W3CDTF">2024-09-30T13:11:00Z</dcterms:created>
  <dcterms:modified xsi:type="dcterms:W3CDTF">2024-11-05T09:38:00Z</dcterms:modified>
</cp:coreProperties>
</file>