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099D46F1" w:rsidR="0065566F" w:rsidRPr="00091034" w:rsidRDefault="005967F9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5967F9">
        <w:rPr>
          <w:rFonts w:ascii="Verdana" w:hAnsi="Verdana"/>
          <w:lang w:val="ru-RU"/>
        </w:rPr>
        <w:t xml:space="preserve">поставку канцелярских товаров и продуктов питания для подразделения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ad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BA7C1F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ad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E4AC42B" w:rsidR="00C46DEA" w:rsidRPr="00091034" w:rsidRDefault="00BA7C1F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ad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46DEA" w:rsidRPr="00F05CFA">
              <w:rPr>
                <w:rStyle w:val="ad"/>
                <w:rFonts w:ascii="Verdana" w:hAnsi="Verdana"/>
                <w:noProof/>
              </w:rPr>
              <w:t>услуг / работ / товаров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050DC0D4" w:rsidR="00C46DEA" w:rsidRPr="00091034" w:rsidRDefault="00BA7C1F" w:rsidP="00C31D7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ad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31D7D">
              <w:rPr>
                <w:rFonts w:ascii="Verdana" w:hAnsi="Verdana"/>
                <w:noProof/>
                <w:webHidden/>
                <w:lang w:val="ru-RU"/>
              </w:rPr>
              <w:t>4</w:t>
            </w:r>
          </w:hyperlink>
        </w:p>
        <w:p w14:paraId="34867CA1" w14:textId="767C39AE" w:rsidR="00C46DEA" w:rsidRPr="00091034" w:rsidRDefault="00BA7C1F" w:rsidP="00C31D7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ad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31D7D">
              <w:rPr>
                <w:rFonts w:ascii="Verdana" w:hAnsi="Verdana"/>
                <w:noProof/>
                <w:webHidden/>
                <w:lang w:val="ru-RU"/>
              </w:rPr>
              <w:t>4</w:t>
            </w:r>
          </w:hyperlink>
        </w:p>
        <w:p w14:paraId="7BB14542" w14:textId="0B37E4CB" w:rsidR="00C46DEA" w:rsidRPr="00091034" w:rsidRDefault="00BA7C1F" w:rsidP="00C31D7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31D7D">
              <w:rPr>
                <w:rFonts w:ascii="Verdana" w:hAnsi="Verdana"/>
                <w:noProof/>
                <w:webHidden/>
                <w:lang w:val="ru-RU"/>
              </w:rPr>
              <w:t>5</w:t>
            </w:r>
          </w:hyperlink>
        </w:p>
        <w:p w14:paraId="5ABAF8A0" w14:textId="7AF9E801" w:rsidR="00C46DEA" w:rsidRPr="00091034" w:rsidRDefault="00BA7C1F" w:rsidP="00C31D7D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ad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31D7D">
              <w:rPr>
                <w:rFonts w:ascii="Verdana" w:hAnsi="Verdana"/>
                <w:webHidden/>
              </w:rPr>
              <w:t>7</w:t>
            </w:r>
          </w:hyperlink>
        </w:p>
        <w:p w14:paraId="3CDF27CF" w14:textId="351FD4E1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091034">
        <w:rPr>
          <w:rFonts w:ascii="Verdana" w:hAnsi="Verdana"/>
        </w:rPr>
        <w:t>Общие положения</w:t>
      </w:r>
      <w:bookmarkEnd w:id="20"/>
    </w:p>
    <w:p w14:paraId="672DC307" w14:textId="2BDF48E7" w:rsidR="00E249B8" w:rsidRPr="00091034" w:rsidRDefault="00F15009" w:rsidP="00D410C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r w:rsidR="00D410C3" w:rsidRPr="00091034">
        <w:rPr>
          <w:rFonts w:ascii="Verdana" w:hAnsi="Verdana"/>
        </w:rPr>
        <w:t>agr</w:t>
      </w:r>
      <w:r w:rsidR="00D410C3" w:rsidRPr="00091034">
        <w:rPr>
          <w:rFonts w:ascii="Verdana" w:hAnsi="Verdana"/>
          <w:lang w:val="ru-RU"/>
        </w:rPr>
        <w:t>.</w:t>
      </w:r>
      <w:r w:rsidR="00D410C3" w:rsidRPr="00091034">
        <w:rPr>
          <w:rFonts w:ascii="Verdana" w:hAnsi="Verdana"/>
        </w:rPr>
        <w:t>auto</w:t>
      </w:r>
      <w:r w:rsidR="00D410C3" w:rsidRPr="00091034">
        <w:rPr>
          <w:rFonts w:ascii="Verdana" w:hAnsi="Verdana"/>
          <w:lang w:val="ru-RU"/>
        </w:rPr>
        <w:t>/</w:t>
      </w:r>
      <w:r w:rsidR="00D410C3" w:rsidRPr="00091034">
        <w:rPr>
          <w:rFonts w:ascii="Verdana" w:hAnsi="Verdana"/>
        </w:rPr>
        <w:t>purchase</w:t>
      </w:r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244B91BB" w14:textId="119E3D0F" w:rsidR="00E249B8" w:rsidRPr="00091034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58FC13EC" w:rsidR="00881CA6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EB1794" w:rsidRPr="00091034">
        <w:rPr>
          <w:rFonts w:ascii="Verdana" w:hAnsi="Verdana"/>
          <w:b/>
          <w:lang w:val="ru-RU"/>
        </w:rPr>
        <w:t>АГР</w:t>
      </w:r>
      <w:r w:rsidRPr="00091034">
        <w:rPr>
          <w:rFonts w:ascii="Verdana" w:hAnsi="Verdana"/>
          <w:lang w:val="ru-RU"/>
        </w:rPr>
        <w:t xml:space="preserve"> </w:t>
      </w:r>
    </w:p>
    <w:p w14:paraId="412C651C" w14:textId="513AC555" w:rsidR="005768EC" w:rsidRDefault="005768EC" w:rsidP="005768EC">
      <w:pPr>
        <w:suppressAutoHyphens/>
        <w:spacing w:after="0" w:line="320" w:lineRule="exact"/>
        <w:ind w:left="709"/>
        <w:rPr>
          <w:lang w:val="ru-RU"/>
        </w:rPr>
      </w:pPr>
      <w:r>
        <w:rPr>
          <w:lang w:val="ru-RU"/>
        </w:rPr>
        <w:t xml:space="preserve">Нина Темницкая </w:t>
      </w:r>
    </w:p>
    <w:p w14:paraId="614A631A" w14:textId="75666A38" w:rsidR="005768EC" w:rsidRDefault="00A25D00" w:rsidP="005768EC">
      <w:pPr>
        <w:suppressAutoHyphens/>
        <w:spacing w:after="0" w:line="320" w:lineRule="exact"/>
        <w:ind w:left="709"/>
        <w:rPr>
          <w:lang w:val="ru-RU"/>
        </w:rPr>
      </w:pPr>
      <w:hyperlink r:id="rId11" w:history="1">
        <w:r w:rsidR="005768EC" w:rsidRPr="00284BB9">
          <w:rPr>
            <w:rStyle w:val="ad"/>
          </w:rPr>
          <w:t>Nina</w:t>
        </w:r>
        <w:r w:rsidR="005768EC" w:rsidRPr="00284BB9">
          <w:rPr>
            <w:rStyle w:val="ad"/>
            <w:lang w:val="ru-RU"/>
          </w:rPr>
          <w:t>.</w:t>
        </w:r>
        <w:r w:rsidR="005768EC" w:rsidRPr="00284BB9">
          <w:rPr>
            <w:rStyle w:val="ad"/>
          </w:rPr>
          <w:t>Temnitskaya</w:t>
        </w:r>
        <w:r w:rsidR="005768EC" w:rsidRPr="00284BB9">
          <w:rPr>
            <w:rStyle w:val="ad"/>
            <w:lang w:val="ru-RU"/>
          </w:rPr>
          <w:t>@</w:t>
        </w:r>
        <w:r w:rsidR="005768EC" w:rsidRPr="00284BB9">
          <w:rPr>
            <w:rStyle w:val="ad"/>
          </w:rPr>
          <w:t>agr</w:t>
        </w:r>
        <w:r w:rsidR="005768EC" w:rsidRPr="00284BB9">
          <w:rPr>
            <w:rStyle w:val="ad"/>
            <w:lang w:val="ru-RU"/>
          </w:rPr>
          <w:t>.</w:t>
        </w:r>
        <w:r w:rsidR="005768EC" w:rsidRPr="00284BB9">
          <w:rPr>
            <w:rStyle w:val="ad"/>
          </w:rPr>
          <w:t>auto</w:t>
        </w:r>
      </w:hyperlink>
      <w:r w:rsidR="005768EC" w:rsidRPr="00A92F3E">
        <w:rPr>
          <w:lang w:val="ru-RU"/>
        </w:rPr>
        <w:t xml:space="preserve"> </w:t>
      </w:r>
    </w:p>
    <w:p w14:paraId="7505D443" w14:textId="51A3FC58" w:rsidR="005768EC" w:rsidRDefault="00AB1B34" w:rsidP="005768EC">
      <w:pPr>
        <w:suppressAutoHyphens/>
        <w:spacing w:after="0" w:line="320" w:lineRule="exact"/>
        <w:ind w:left="709"/>
        <w:rPr>
          <w:lang w:val="ru-RU"/>
        </w:rPr>
      </w:pPr>
      <w:r>
        <w:rPr>
          <w:lang w:val="ru-RU"/>
        </w:rPr>
        <w:t>Евг</w:t>
      </w:r>
      <w:r w:rsidR="004A7F81">
        <w:rPr>
          <w:lang w:val="ru-RU"/>
        </w:rPr>
        <w:t>ения</w:t>
      </w:r>
      <w:r>
        <w:rPr>
          <w:lang w:val="ru-RU"/>
        </w:rPr>
        <w:t xml:space="preserve"> Наймушина</w:t>
      </w:r>
    </w:p>
    <w:p w14:paraId="7849A513" w14:textId="443F9230" w:rsidR="00AB1B34" w:rsidRPr="006709DD" w:rsidRDefault="00A25D00" w:rsidP="005768EC">
      <w:pPr>
        <w:suppressAutoHyphens/>
        <w:spacing w:after="0" w:line="320" w:lineRule="exact"/>
        <w:ind w:left="709"/>
        <w:rPr>
          <w:rStyle w:val="ad"/>
          <w:lang w:val="ru-RU"/>
        </w:rPr>
      </w:pPr>
      <w:hyperlink r:id="rId12" w:history="1">
        <w:r w:rsidR="00AB1B34" w:rsidRPr="00AB1B34">
          <w:rPr>
            <w:rStyle w:val="ad"/>
          </w:rPr>
          <w:t>Evgeniya</w:t>
        </w:r>
        <w:r w:rsidR="00AB1B34" w:rsidRPr="006709DD">
          <w:rPr>
            <w:rStyle w:val="ad"/>
            <w:lang w:val="ru-RU"/>
          </w:rPr>
          <w:t>.</w:t>
        </w:r>
        <w:r w:rsidR="00AB1B34" w:rsidRPr="00AB1B34">
          <w:rPr>
            <w:rStyle w:val="ad"/>
          </w:rPr>
          <w:t>Najmushina</w:t>
        </w:r>
        <w:r w:rsidR="00AB1B34" w:rsidRPr="006709DD">
          <w:rPr>
            <w:rStyle w:val="ad"/>
            <w:lang w:val="ru-RU"/>
          </w:rPr>
          <w:t>@</w:t>
        </w:r>
        <w:r w:rsidR="00AB1B34" w:rsidRPr="00AB1B34">
          <w:rPr>
            <w:rStyle w:val="ad"/>
          </w:rPr>
          <w:t>agr</w:t>
        </w:r>
        <w:r w:rsidR="00AB1B34" w:rsidRPr="006709DD">
          <w:rPr>
            <w:rStyle w:val="ad"/>
            <w:lang w:val="ru-RU"/>
          </w:rPr>
          <w:t>.</w:t>
        </w:r>
        <w:r w:rsidR="00AB1B34" w:rsidRPr="00AB1B34">
          <w:rPr>
            <w:rStyle w:val="ad"/>
          </w:rPr>
          <w:t>auto</w:t>
        </w:r>
      </w:hyperlink>
    </w:p>
    <w:p w14:paraId="0DE589AB" w14:textId="14C18007" w:rsidR="005768EC" w:rsidRDefault="005768EC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Петрова Александра</w:t>
      </w:r>
    </w:p>
    <w:p w14:paraId="5E594124" w14:textId="44B8294A" w:rsidR="005768EC" w:rsidRDefault="00A25D00" w:rsidP="00881CA6">
      <w:pPr>
        <w:spacing w:after="0" w:line="240" w:lineRule="auto"/>
        <w:ind w:left="708"/>
        <w:rPr>
          <w:rFonts w:ascii="Verdana" w:hAnsi="Verdana"/>
          <w:lang w:val="ru-RU"/>
        </w:rPr>
      </w:pPr>
      <w:hyperlink r:id="rId13" w:history="1">
        <w:r w:rsidR="005768EC" w:rsidRPr="00284BB9">
          <w:rPr>
            <w:rStyle w:val="ad"/>
            <w:rFonts w:ascii="Verdana" w:hAnsi="Verdana"/>
            <w:lang w:val="ru-RU"/>
          </w:rPr>
          <w:t>Aleksandra.Petrova@agr.auto</w:t>
        </w:r>
      </w:hyperlink>
    </w:p>
    <w:p w14:paraId="169B9971" w14:textId="70F016AF" w:rsidR="00881CA6" w:rsidRPr="00091034" w:rsidRDefault="00881CA6" w:rsidP="005768EC">
      <w:pPr>
        <w:spacing w:after="0" w:line="240" w:lineRule="auto"/>
        <w:rPr>
          <w:rFonts w:ascii="Verdana" w:hAnsi="Verdana"/>
          <w:lang w:val="ru-RU"/>
        </w:rPr>
      </w:pPr>
    </w:p>
    <w:p w14:paraId="15E1C831" w14:textId="21A10C3C" w:rsidR="00881CA6" w:rsidRPr="00AB1B34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62391412" w:rsidR="00130983" w:rsidRPr="00091034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84854375"/>
      <w:bookmarkEnd w:id="21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r w:rsidR="00130983" w:rsidRPr="0006787E">
        <w:rPr>
          <w:rFonts w:ascii="Verdana" w:hAnsi="Verdana"/>
        </w:rPr>
        <w:t>услуг / работ / товаров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44924B2C" w14:textId="0CC42209" w:rsidR="0006787E" w:rsidRDefault="00933110" w:rsidP="00933110">
      <w:pPr>
        <w:pStyle w:val="aa"/>
        <w:numPr>
          <w:ilvl w:val="1"/>
          <w:numId w:val="18"/>
        </w:numPr>
        <w:spacing w:after="0"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Контрагент </w:t>
      </w:r>
      <w:r w:rsidRPr="0006787E">
        <w:rPr>
          <w:rFonts w:ascii="Verdana" w:hAnsi="Verdana"/>
          <w:lang w:val="ru-RU"/>
        </w:rPr>
        <w:t xml:space="preserve"> </w:t>
      </w:r>
      <w:r w:rsidR="0006787E" w:rsidRPr="0006787E">
        <w:rPr>
          <w:rFonts w:ascii="Verdana" w:hAnsi="Verdana"/>
          <w:lang w:val="ru-RU"/>
        </w:rPr>
        <w:t xml:space="preserve">доставляет канцтовары и продукты питания в офисы </w:t>
      </w:r>
      <w:r>
        <w:rPr>
          <w:rFonts w:ascii="Verdana" w:hAnsi="Verdana"/>
          <w:lang w:val="ru-RU"/>
        </w:rPr>
        <w:t>АГР</w:t>
      </w:r>
      <w:r w:rsidRPr="0006787E">
        <w:rPr>
          <w:rFonts w:ascii="Verdana" w:hAnsi="Verdana"/>
          <w:lang w:val="ru-RU"/>
        </w:rPr>
        <w:t xml:space="preserve"> </w:t>
      </w:r>
      <w:r w:rsidR="0006787E" w:rsidRPr="0006787E">
        <w:rPr>
          <w:rFonts w:ascii="Verdana" w:hAnsi="Verdana"/>
          <w:lang w:val="ru-RU"/>
        </w:rPr>
        <w:t>с использованием собственных транспортных средств с водителями</w:t>
      </w:r>
      <w:r w:rsidR="0006787E">
        <w:rPr>
          <w:rFonts w:ascii="Verdana" w:hAnsi="Verdana"/>
          <w:lang w:val="ru-RU"/>
        </w:rPr>
        <w:t>.</w:t>
      </w:r>
      <w:r w:rsidR="0006787E" w:rsidRPr="0006787E">
        <w:rPr>
          <w:rFonts w:ascii="Verdana" w:hAnsi="Verdana"/>
          <w:lang w:val="ru-RU"/>
        </w:rPr>
        <w:t xml:space="preserve"> </w:t>
      </w:r>
    </w:p>
    <w:p w14:paraId="797DA9D4" w14:textId="36C49DE3" w:rsidR="00061BB7" w:rsidRPr="00091034" w:rsidRDefault="00061BB7" w:rsidP="0006787E">
      <w:pPr>
        <w:pStyle w:val="aa"/>
        <w:numPr>
          <w:ilvl w:val="1"/>
          <w:numId w:val="18"/>
        </w:numPr>
        <w:spacing w:after="0" w:line="240" w:lineRule="auto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Место </w:t>
      </w:r>
      <w:r w:rsidRPr="0006787E">
        <w:rPr>
          <w:rFonts w:ascii="Verdana" w:hAnsi="Verdana"/>
          <w:lang w:val="ru-RU"/>
        </w:rPr>
        <w:t>оказания услуг / выполнения работ / адрес поставки</w:t>
      </w:r>
      <w:r w:rsidR="0006787E">
        <w:rPr>
          <w:rFonts w:ascii="Verdana" w:hAnsi="Verdana"/>
          <w:lang w:val="ru-RU"/>
        </w:rPr>
        <w:t>: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558978D3" w14:textId="7AB19BFC" w:rsidR="00130983" w:rsidRDefault="00E33E77" w:rsidP="0006787E">
      <w:pPr>
        <w:pStyle w:val="aa"/>
        <w:spacing w:after="0" w:line="240" w:lineRule="auto"/>
        <w:ind w:left="85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</w:t>
      </w:r>
      <w:r w:rsidR="0006787E" w:rsidRPr="0006787E">
        <w:rPr>
          <w:rFonts w:ascii="Verdana" w:hAnsi="Verdana"/>
          <w:lang w:val="ru-RU"/>
        </w:rPr>
        <w:t>г. Москва,ул. Обручева, д.30/1 стр. 2 (м. Калужская)</w:t>
      </w:r>
    </w:p>
    <w:p w14:paraId="0ABA0DE2" w14:textId="77777777" w:rsidR="004A7F81" w:rsidRDefault="004A7F81" w:rsidP="0006787E">
      <w:pPr>
        <w:pStyle w:val="aa"/>
        <w:spacing w:after="0" w:line="240" w:lineRule="auto"/>
        <w:ind w:left="858"/>
        <w:jc w:val="both"/>
        <w:rPr>
          <w:rFonts w:ascii="Verdana" w:hAnsi="Verdana"/>
          <w:lang w:val="ru-RU"/>
        </w:rPr>
      </w:pPr>
    </w:p>
    <w:p w14:paraId="2259F049" w14:textId="4EF08C93" w:rsidR="0006787E" w:rsidRDefault="00E33E77" w:rsidP="0006787E">
      <w:pPr>
        <w:pStyle w:val="aa"/>
        <w:spacing w:after="0" w:line="240" w:lineRule="auto"/>
        <w:ind w:left="85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</w:t>
      </w:r>
      <w:r w:rsidR="0006787E" w:rsidRPr="0006787E">
        <w:rPr>
          <w:rFonts w:ascii="Verdana" w:hAnsi="Verdana"/>
          <w:lang w:val="ru-RU"/>
        </w:rPr>
        <w:t>Московская область, сельское поселение Баранцевское, с. Новоселки, Чеховский район, пром. зона "Новоселки", вл.19, стр. 11, склад ООО «АГР</w:t>
      </w:r>
      <w:r w:rsidR="00B51877">
        <w:rPr>
          <w:rFonts w:ascii="Verdana" w:hAnsi="Verdana"/>
          <w:lang w:val="ru-RU"/>
        </w:rPr>
        <w:t>»</w:t>
      </w:r>
    </w:p>
    <w:p w14:paraId="7BBE513F" w14:textId="77777777" w:rsidR="004A7F81" w:rsidRDefault="004A7F81" w:rsidP="0006787E">
      <w:pPr>
        <w:pStyle w:val="aa"/>
        <w:spacing w:after="0" w:line="240" w:lineRule="auto"/>
        <w:ind w:left="858"/>
        <w:jc w:val="both"/>
        <w:rPr>
          <w:rFonts w:ascii="Verdana" w:hAnsi="Verdana"/>
          <w:lang w:val="ru-RU"/>
        </w:rPr>
      </w:pPr>
    </w:p>
    <w:p w14:paraId="597871D1" w14:textId="4E0F92A7" w:rsidR="004A7F81" w:rsidRDefault="004A7F81" w:rsidP="0006787E">
      <w:pPr>
        <w:pStyle w:val="aa"/>
        <w:spacing w:after="0" w:line="240" w:lineRule="auto"/>
        <w:ind w:left="85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-г.Калуга, Автомобильная уд, д.1</w:t>
      </w:r>
    </w:p>
    <w:p w14:paraId="4679F00D" w14:textId="77777777" w:rsidR="004A7F81" w:rsidRPr="0006787E" w:rsidRDefault="004A7F81" w:rsidP="0006787E">
      <w:pPr>
        <w:pStyle w:val="aa"/>
        <w:spacing w:after="0" w:line="240" w:lineRule="auto"/>
        <w:ind w:left="858"/>
        <w:jc w:val="both"/>
        <w:rPr>
          <w:rFonts w:ascii="Verdana" w:hAnsi="Verdana"/>
          <w:lang w:val="ru-RU"/>
        </w:rPr>
      </w:pPr>
    </w:p>
    <w:p w14:paraId="37DA2F1D" w14:textId="5E090DA2" w:rsidR="001C2F2A" w:rsidRDefault="007B5F45" w:rsidP="0006787E">
      <w:pPr>
        <w:pStyle w:val="aa"/>
        <w:numPr>
          <w:ilvl w:val="1"/>
          <w:numId w:val="18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bookmarkStart w:id="42" w:name="_Toc472351084"/>
      <w:bookmarkStart w:id="43" w:name="_Toc472412715"/>
      <w:bookmarkStart w:id="44" w:name="_Toc472412733"/>
      <w:bookmarkStart w:id="45" w:name="_Toc513111863"/>
      <w:bookmarkStart w:id="46" w:name="_Toc513193637"/>
      <w:bookmarkStart w:id="47" w:name="_Toc513193647"/>
      <w:bookmarkStart w:id="48" w:name="_Toc513193685"/>
      <w:bookmarkStart w:id="49" w:name="_Toc513220063"/>
      <w:bookmarkStart w:id="50" w:name="_Toc514681489"/>
      <w:bookmarkStart w:id="51" w:name="_Toc514681499"/>
      <w:bookmarkStart w:id="52" w:name="_Toc514681509"/>
      <w:bookmarkStart w:id="53" w:name="_Toc517901917"/>
      <w:bookmarkStart w:id="54" w:name="_Toc517901927"/>
      <w:bookmarkStart w:id="55" w:name="_Toc517901937"/>
      <w:bookmarkStart w:id="56" w:name="_Toc517902084"/>
      <w:bookmarkStart w:id="57" w:name="_Toc517902120"/>
      <w:bookmarkStart w:id="58" w:name="_Toc517902130"/>
      <w:bookmarkStart w:id="59" w:name="_Toc517902236"/>
      <w:bookmarkStart w:id="60" w:name="_Toc517902464"/>
      <w:r w:rsidRPr="0006787E">
        <w:rPr>
          <w:rFonts w:ascii="Verdana" w:hAnsi="Verdana"/>
          <w:lang w:val="ru-RU"/>
        </w:rPr>
        <w:t xml:space="preserve">Сроки </w:t>
      </w:r>
      <w:r w:rsidR="001C2F2A" w:rsidRPr="0006787E">
        <w:rPr>
          <w:rFonts w:ascii="Verdana" w:hAnsi="Verdana"/>
          <w:lang w:val="ru-RU"/>
        </w:rPr>
        <w:t>оказания услуг / выполнения работ / поставки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55FF9730" w14:textId="5B5A744E" w:rsidR="0006787E" w:rsidRPr="0006787E" w:rsidRDefault="00E33E77" w:rsidP="00933110">
      <w:pPr>
        <w:pStyle w:val="aa"/>
        <w:tabs>
          <w:tab w:val="left" w:pos="1276"/>
        </w:tabs>
        <w:spacing w:after="0" w:line="240" w:lineRule="auto"/>
        <w:ind w:left="792"/>
        <w:rPr>
          <w:rFonts w:ascii="Verdana" w:hAnsi="Verdana"/>
          <w:lang w:val="ru-RU"/>
        </w:rPr>
      </w:pPr>
      <w:r w:rsidRPr="00C72362">
        <w:rPr>
          <w:rFonts w:ascii="Verdana" w:hAnsi="Verdana"/>
          <w:lang w:val="ru-RU"/>
        </w:rPr>
        <w:t xml:space="preserve">По запросу </w:t>
      </w:r>
      <w:r w:rsidR="00933110">
        <w:rPr>
          <w:rFonts w:ascii="Verdana" w:hAnsi="Verdana"/>
          <w:lang w:val="ru-RU"/>
        </w:rPr>
        <w:t>АГР</w:t>
      </w:r>
    </w:p>
    <w:p w14:paraId="78AFA85E" w14:textId="68560C34" w:rsidR="00881CA6" w:rsidRDefault="00881CA6" w:rsidP="0006787E">
      <w:pPr>
        <w:pStyle w:val="aa"/>
        <w:numPr>
          <w:ilvl w:val="1"/>
          <w:numId w:val="18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06787E">
        <w:rPr>
          <w:rFonts w:ascii="Verdana" w:hAnsi="Verdana"/>
          <w:lang w:val="ru-RU"/>
        </w:rPr>
        <w:t>Обязанности Контрагента</w:t>
      </w:r>
    </w:p>
    <w:p w14:paraId="51048033" w14:textId="63914F6B" w:rsidR="00E33E77" w:rsidRPr="00E33E77" w:rsidRDefault="00D50098" w:rsidP="00E45EB1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 xml:space="preserve">Контрагент </w:t>
      </w:r>
      <w:r w:rsidR="00E33E77" w:rsidRPr="00E33E77">
        <w:rPr>
          <w:rFonts w:cs="Arial"/>
          <w:lang w:val="ru-RU"/>
        </w:rPr>
        <w:t xml:space="preserve">обязуется поставлять по Заказам </w:t>
      </w:r>
      <w:r w:rsidR="00933110">
        <w:rPr>
          <w:rFonts w:cs="Arial"/>
          <w:lang w:val="ru-RU"/>
        </w:rPr>
        <w:t>АГР</w:t>
      </w:r>
      <w:r w:rsidR="00933110" w:rsidRPr="00E33E77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 xml:space="preserve">канцтовары и продукты питания (далее - «Товар») в </w:t>
      </w:r>
      <w:r w:rsidR="00E45EB1">
        <w:rPr>
          <w:rFonts w:cs="Arial"/>
          <w:lang w:val="ru-RU"/>
        </w:rPr>
        <w:t xml:space="preserve">указанном в </w:t>
      </w:r>
      <w:r w:rsidR="00E33E77" w:rsidRPr="00E33E77">
        <w:rPr>
          <w:rFonts w:cs="Arial"/>
          <w:lang w:val="ru-RU"/>
        </w:rPr>
        <w:t xml:space="preserve"> Заказе количестве и сроки.</w:t>
      </w:r>
    </w:p>
    <w:p w14:paraId="34B6F9DF" w14:textId="58A0A5E5" w:rsidR="00E33E77" w:rsidRPr="00E33E77" w:rsidRDefault="00E33E77" w:rsidP="00E45EB1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 w:rsidRPr="00E33E77">
        <w:rPr>
          <w:rFonts w:cs="Arial"/>
          <w:lang w:val="ru-RU"/>
        </w:rPr>
        <w:t xml:space="preserve">Расходы, связанные с доставкой Товаров </w:t>
      </w:r>
      <w:r w:rsidR="00E45EB1">
        <w:rPr>
          <w:rFonts w:cs="Arial"/>
          <w:lang w:val="ru-RU"/>
        </w:rPr>
        <w:t>АГР</w:t>
      </w:r>
      <w:r w:rsidRPr="00E33E77">
        <w:rPr>
          <w:rFonts w:cs="Arial"/>
          <w:lang w:val="ru-RU"/>
        </w:rPr>
        <w:t>, в том числе с транспортировкой (перевозкой), погрузкой, перегрузкой (перевалкой), выгрузкой (разгрузкой) Товаров включены в стоимость Товара.</w:t>
      </w:r>
    </w:p>
    <w:p w14:paraId="6A9CB594" w14:textId="46A4CF28" w:rsidR="00E33E77" w:rsidRPr="00E33E77" w:rsidRDefault="00E45EB1" w:rsidP="00E45EB1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>
        <w:rPr>
          <w:rFonts w:cs="Arial"/>
          <w:lang w:val="ru-RU"/>
        </w:rPr>
        <w:t>Контрагент</w:t>
      </w:r>
      <w:r w:rsidR="00E33E77" w:rsidRPr="00E33E77">
        <w:rPr>
          <w:rFonts w:cs="Arial"/>
          <w:lang w:val="ru-RU"/>
        </w:rPr>
        <w:t xml:space="preserve"> гарантирует надлежащее качество Товара, обязан своевременно </w:t>
      </w:r>
      <w:r w:rsidR="00742259" w:rsidRPr="00DC27CD">
        <w:rPr>
          <w:rFonts w:cs="Arial"/>
          <w:lang w:val="ru-RU"/>
        </w:rPr>
        <w:t>(</w:t>
      </w:r>
      <w:r w:rsidR="00742259">
        <w:rPr>
          <w:rFonts w:cs="Arial"/>
          <w:lang w:val="ru-RU"/>
        </w:rPr>
        <w:t xml:space="preserve">после направляения запроса о размещении заказа) </w:t>
      </w:r>
      <w:r w:rsidR="00E33E77" w:rsidRPr="00E33E77">
        <w:rPr>
          <w:rFonts w:cs="Arial"/>
          <w:lang w:val="ru-RU"/>
        </w:rPr>
        <w:t xml:space="preserve">сообщать об отсутствии Товаров на складе. </w:t>
      </w:r>
    </w:p>
    <w:p w14:paraId="18EED93E" w14:textId="0C7938DF" w:rsidR="00E33E77" w:rsidRPr="00E33E77" w:rsidRDefault="00184EB5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>
        <w:rPr>
          <w:rFonts w:cs="Arial"/>
          <w:lang w:val="ru-RU"/>
        </w:rPr>
        <w:t xml:space="preserve">Контрагент </w:t>
      </w:r>
      <w:r w:rsidRPr="00E33E77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 xml:space="preserve">гарантирует, что поставляемый Товар является оригинальным </w:t>
      </w:r>
      <w:r w:rsidR="004D3EC3" w:rsidRPr="00742259">
        <w:rPr>
          <w:rFonts w:cs="Arial"/>
          <w:lang w:val="ru-RU"/>
        </w:rPr>
        <w:t>канцелярским товаром</w:t>
      </w:r>
      <w:r w:rsidR="004D3EC3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 xml:space="preserve">от завода-изготовителя, исправным, новым, невосстановленным и не бывшим ранее в  эксплуатации. </w:t>
      </w:r>
      <w:r w:rsidR="004D3EC3" w:rsidRPr="004D3EC3">
        <w:rPr>
          <w:rFonts w:cs="Arial"/>
          <w:lang w:val="ru-RU"/>
        </w:rPr>
        <w:t>Контрагент</w:t>
      </w:r>
      <w:r w:rsidR="004D3EC3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 xml:space="preserve">принимает Заказ в работу в срок не позднее 3 (трех) рабочих часов с момента получения Заказа от </w:t>
      </w:r>
      <w:r w:rsidR="00E729AB">
        <w:rPr>
          <w:rFonts w:cs="Arial"/>
          <w:lang w:val="ru-RU"/>
        </w:rPr>
        <w:t xml:space="preserve">АГР </w:t>
      </w:r>
      <w:r w:rsidR="00E33E77" w:rsidRPr="00E33E77">
        <w:rPr>
          <w:rFonts w:cs="Arial"/>
          <w:lang w:val="ru-RU"/>
        </w:rPr>
        <w:t>. Доставка Товара осуществляется Поставщиком в</w:t>
      </w:r>
      <w:r w:rsidR="006709DD">
        <w:rPr>
          <w:rFonts w:cs="Arial"/>
          <w:lang w:val="ru-RU"/>
        </w:rPr>
        <w:t xml:space="preserve"> рабочее время с 09:00 до 18:00</w:t>
      </w:r>
      <w:r w:rsidR="006709DD" w:rsidRPr="006709DD">
        <w:rPr>
          <w:rFonts w:cs="Arial"/>
          <w:lang w:val="ru-RU"/>
        </w:rPr>
        <w:t xml:space="preserve"> (</w:t>
      </w:r>
      <w:r w:rsidR="006709DD">
        <w:rPr>
          <w:rFonts w:cs="Arial"/>
          <w:lang w:val="ru-RU"/>
        </w:rPr>
        <w:t xml:space="preserve">г. Москва и Чехов) и </w:t>
      </w:r>
      <w:r w:rsidR="00D16E41">
        <w:rPr>
          <w:rFonts w:cs="Arial"/>
          <w:lang w:val="ru-RU"/>
        </w:rPr>
        <w:t xml:space="preserve">с </w:t>
      </w:r>
      <w:r w:rsidR="006709DD">
        <w:rPr>
          <w:rFonts w:cs="Arial"/>
          <w:lang w:val="ru-RU"/>
        </w:rPr>
        <w:t>9:00 до 17:00 (г. Калуга).</w:t>
      </w:r>
      <w:r w:rsidR="00E33E77" w:rsidRPr="00E33E77">
        <w:rPr>
          <w:rFonts w:cs="Arial"/>
          <w:lang w:val="ru-RU"/>
        </w:rPr>
        <w:t xml:space="preserve"> Датой поставки Товара является дата передачи Товара уполномоченному сотруднику </w:t>
      </w:r>
      <w:r w:rsidR="00E729AB">
        <w:rPr>
          <w:rFonts w:cs="Arial"/>
          <w:lang w:val="ru-RU"/>
        </w:rPr>
        <w:t xml:space="preserve">АГР </w:t>
      </w:r>
      <w:r w:rsidR="00E33E77" w:rsidRPr="00E33E77">
        <w:rPr>
          <w:rFonts w:cs="Arial"/>
          <w:lang w:val="ru-RU"/>
        </w:rPr>
        <w:t>подписания товарной накладной по форме № ТОРГ-12.</w:t>
      </w:r>
    </w:p>
    <w:p w14:paraId="1E10D746" w14:textId="59AFF0A9" w:rsidR="00E33E77" w:rsidRPr="00E33E77" w:rsidRDefault="00E33E77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 w:rsidRPr="00E33E77">
        <w:rPr>
          <w:rFonts w:cs="Arial"/>
          <w:lang w:val="ru-RU"/>
        </w:rPr>
        <w:t xml:space="preserve">В случае отгрузки Товара по не подтвержденному авторизованным лицом </w:t>
      </w:r>
      <w:r w:rsidR="006C45A1">
        <w:rPr>
          <w:rFonts w:cs="Arial"/>
          <w:lang w:val="ru-RU"/>
        </w:rPr>
        <w:t>(</w:t>
      </w:r>
      <w:r w:rsidR="006C45A1" w:rsidRPr="00B944C2">
        <w:rPr>
          <w:rFonts w:cs="Arial"/>
          <w:lang w:val="ru-RU"/>
        </w:rPr>
        <w:t xml:space="preserve">указанным в пункте 1.2. ТЗ) </w:t>
      </w:r>
      <w:r w:rsidR="00E729AB" w:rsidRPr="00B944C2">
        <w:rPr>
          <w:rFonts w:cs="Arial"/>
          <w:lang w:val="ru-RU"/>
        </w:rPr>
        <w:t xml:space="preserve">АГР </w:t>
      </w:r>
      <w:r w:rsidRPr="00B944C2">
        <w:rPr>
          <w:rFonts w:cs="Arial"/>
          <w:lang w:val="ru-RU"/>
        </w:rPr>
        <w:t>Заказу</w:t>
      </w:r>
      <w:r w:rsidRPr="00E33E77">
        <w:rPr>
          <w:rFonts w:cs="Arial"/>
          <w:lang w:val="ru-RU"/>
        </w:rPr>
        <w:t xml:space="preserve"> либо отгрузки не указанного в Каталоге Товара  такой Товар считается поставленным </w:t>
      </w:r>
      <w:r w:rsidR="004D3EC3">
        <w:rPr>
          <w:rFonts w:cs="Arial"/>
          <w:lang w:val="ru-RU"/>
        </w:rPr>
        <w:t>Контрагентом</w:t>
      </w:r>
      <w:r w:rsidR="004D3EC3" w:rsidRPr="00E33E77">
        <w:rPr>
          <w:rFonts w:cs="Arial"/>
          <w:lang w:val="ru-RU"/>
        </w:rPr>
        <w:t xml:space="preserve"> </w:t>
      </w:r>
      <w:r w:rsidRPr="00E33E77">
        <w:rPr>
          <w:rFonts w:cs="Arial"/>
          <w:lang w:val="ru-RU"/>
        </w:rPr>
        <w:t>в ненадлежащем порядке и не подлежит оплате</w:t>
      </w:r>
      <w:r w:rsidR="00B35916">
        <w:rPr>
          <w:rFonts w:cs="Arial"/>
          <w:lang w:val="ru-RU"/>
        </w:rPr>
        <w:t xml:space="preserve"> АГР</w:t>
      </w:r>
      <w:r w:rsidRPr="00E33E77">
        <w:rPr>
          <w:rFonts w:cs="Arial"/>
          <w:lang w:val="ru-RU"/>
        </w:rPr>
        <w:t>.</w:t>
      </w:r>
    </w:p>
    <w:p w14:paraId="071F514E" w14:textId="4CA7DAB0" w:rsidR="00E33E77" w:rsidRPr="00E33E77" w:rsidRDefault="004D3EC3" w:rsidP="00875CEE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bookmarkStart w:id="61" w:name="_GoBack"/>
      <w:r>
        <w:rPr>
          <w:rFonts w:cs="Arial"/>
          <w:lang w:val="ru-RU"/>
        </w:rPr>
        <w:t>Контрагент</w:t>
      </w:r>
      <w:r w:rsidRPr="00E33E77">
        <w:rPr>
          <w:rFonts w:cs="Arial"/>
          <w:lang w:val="ru-RU"/>
        </w:rPr>
        <w:t xml:space="preserve"> </w:t>
      </w:r>
      <w:r w:rsidR="00875CEE">
        <w:rPr>
          <w:rFonts w:cs="Arial"/>
          <w:lang w:val="ru-RU"/>
        </w:rPr>
        <w:t xml:space="preserve">обязан согласовывать </w:t>
      </w:r>
      <w:r w:rsidR="002E0264">
        <w:rPr>
          <w:rFonts w:cs="Arial"/>
          <w:lang w:val="ru-RU"/>
        </w:rPr>
        <w:t xml:space="preserve">добавление </w:t>
      </w:r>
      <w:r w:rsidR="00E33E77" w:rsidRPr="00E33E77">
        <w:rPr>
          <w:rFonts w:cs="Arial"/>
          <w:lang w:val="ru-RU"/>
        </w:rPr>
        <w:t>канцелярски</w:t>
      </w:r>
      <w:r w:rsidR="002E0264">
        <w:rPr>
          <w:rFonts w:cs="Arial"/>
          <w:lang w:val="ru-RU"/>
        </w:rPr>
        <w:t>х</w:t>
      </w:r>
      <w:r w:rsidR="00E33E77" w:rsidRPr="00E33E77">
        <w:rPr>
          <w:rFonts w:cs="Arial"/>
          <w:lang w:val="ru-RU"/>
        </w:rPr>
        <w:t xml:space="preserve"> товар</w:t>
      </w:r>
      <w:r w:rsidR="002E0264">
        <w:rPr>
          <w:rFonts w:cs="Arial"/>
          <w:lang w:val="ru-RU"/>
        </w:rPr>
        <w:t>ов</w:t>
      </w:r>
      <w:r w:rsidR="00E33E77" w:rsidRPr="00E33E77">
        <w:rPr>
          <w:rFonts w:cs="Arial"/>
          <w:lang w:val="ru-RU"/>
        </w:rPr>
        <w:t xml:space="preserve"> и/или продукты питания в Каталог, заменять товары в Каталоге на аналогичные товары иного производителя</w:t>
      </w:r>
      <w:bookmarkEnd w:id="61"/>
      <w:r w:rsidR="00E33E77" w:rsidRPr="00E33E77">
        <w:rPr>
          <w:rFonts w:cs="Arial"/>
          <w:lang w:val="ru-RU"/>
        </w:rPr>
        <w:t xml:space="preserve">. </w:t>
      </w:r>
    </w:p>
    <w:p w14:paraId="577ECBA4" w14:textId="04E0F6D9" w:rsidR="00E33E77" w:rsidRPr="00E33E77" w:rsidRDefault="00E33E77">
      <w:pPr>
        <w:numPr>
          <w:ilvl w:val="0"/>
          <w:numId w:val="55"/>
        </w:numPr>
        <w:spacing w:before="240" w:after="0" w:line="240" w:lineRule="exact"/>
        <w:jc w:val="both"/>
        <w:rPr>
          <w:color w:val="000000"/>
          <w:lang w:val="ru-RU"/>
        </w:rPr>
      </w:pPr>
      <w:r w:rsidRPr="00E33E77">
        <w:rPr>
          <w:lang w:val="ru-RU"/>
        </w:rPr>
        <w:t xml:space="preserve">Товар должен быть затарен и упакован </w:t>
      </w:r>
      <w:r w:rsidR="004D3EC3">
        <w:rPr>
          <w:lang w:val="ru-RU"/>
        </w:rPr>
        <w:t>Контрагентом</w:t>
      </w:r>
      <w:r w:rsidR="004D3EC3" w:rsidRPr="00E33E77">
        <w:rPr>
          <w:lang w:val="ru-RU"/>
        </w:rPr>
        <w:t xml:space="preserve"> </w:t>
      </w:r>
      <w:r w:rsidRPr="00E33E77">
        <w:rPr>
          <w:lang w:val="ru-RU"/>
        </w:rPr>
        <w:t xml:space="preserve">таким образом, чтобы исключить его порчу и/или уничтожение при условии надлежащего хранения и перевозки. </w:t>
      </w:r>
      <w:r w:rsidRPr="00E33E77">
        <w:rPr>
          <w:rFonts w:cs="Arial"/>
          <w:lang w:val="ru-RU"/>
        </w:rPr>
        <w:t>Упаковка канцелярских товаров должна быть заводской и иметь фирменную заводскую маркировку компании - изготовителя, содержать необходимый штрих-код Товара.</w:t>
      </w:r>
    </w:p>
    <w:p w14:paraId="36573629" w14:textId="456A988E" w:rsidR="00E33E77" w:rsidRPr="00E33E77" w:rsidRDefault="00E33E77">
      <w:pPr>
        <w:numPr>
          <w:ilvl w:val="0"/>
          <w:numId w:val="55"/>
        </w:numPr>
        <w:spacing w:before="240" w:after="0" w:line="240" w:lineRule="exact"/>
        <w:jc w:val="both"/>
        <w:rPr>
          <w:color w:val="000000"/>
          <w:lang w:val="ru-RU"/>
        </w:rPr>
      </w:pPr>
      <w:r w:rsidRPr="00E33E77">
        <w:rPr>
          <w:lang w:val="ru-RU"/>
        </w:rPr>
        <w:t xml:space="preserve">В случае передачи Товара в ненадлежащей таре (упаковке) или без нее, Покупатель вправе потребовать от </w:t>
      </w:r>
      <w:r w:rsidR="004D3EC3">
        <w:rPr>
          <w:lang w:val="ru-RU"/>
        </w:rPr>
        <w:t>Контрагента</w:t>
      </w:r>
      <w:r w:rsidR="004D3EC3" w:rsidRPr="00E33E77">
        <w:rPr>
          <w:lang w:val="ru-RU"/>
        </w:rPr>
        <w:t xml:space="preserve"> </w:t>
      </w:r>
      <w:r w:rsidRPr="00E33E77">
        <w:rPr>
          <w:lang w:val="ru-RU"/>
        </w:rPr>
        <w:t>затарить (упаковать) Товар либо заменить ненадлежащую тару (упаковку).</w:t>
      </w:r>
    </w:p>
    <w:p w14:paraId="4AC585BB" w14:textId="4F0C0B43" w:rsidR="00E33E77" w:rsidRPr="00E33E77" w:rsidRDefault="00E33E77">
      <w:pPr>
        <w:numPr>
          <w:ilvl w:val="0"/>
          <w:numId w:val="55"/>
        </w:numPr>
        <w:spacing w:before="240" w:after="0" w:line="240" w:lineRule="exact"/>
        <w:jc w:val="both"/>
        <w:rPr>
          <w:color w:val="000000"/>
          <w:lang w:val="ru-RU"/>
        </w:rPr>
      </w:pPr>
      <w:r w:rsidRPr="00E33E77">
        <w:rPr>
          <w:lang w:val="ru-RU"/>
        </w:rPr>
        <w:t xml:space="preserve">Если Товар в соответствии с законодательством Российской Федерации подлежит маркировке, в том числе знаком соответствия, то </w:t>
      </w:r>
      <w:r w:rsidR="004D3EC3">
        <w:rPr>
          <w:lang w:val="ru-RU"/>
        </w:rPr>
        <w:t>Контрагент</w:t>
      </w:r>
      <w:r w:rsidR="004D3EC3" w:rsidRPr="00E33E77">
        <w:rPr>
          <w:lang w:val="ru-RU"/>
        </w:rPr>
        <w:t xml:space="preserve"> </w:t>
      </w:r>
      <w:r w:rsidRPr="00E33E77">
        <w:rPr>
          <w:lang w:val="ru-RU"/>
        </w:rPr>
        <w:t xml:space="preserve">обязан передать Покупателю Товар, маркированный в соответствии с требованиями законодательства Российской Федерации. На упаковке товара, также как на самом товаре (на каждой его единице,  если это технически возможно) и/или на ярлыке (если такой имеется)  и на сопроводительной документации должен быть нанесен Единый знак </w:t>
      </w:r>
      <w:r w:rsidR="006C45A1">
        <w:rPr>
          <w:lang w:val="ru-RU"/>
        </w:rPr>
        <w:t xml:space="preserve">обращения </w:t>
      </w:r>
      <w:r w:rsidRPr="00E33E77">
        <w:rPr>
          <w:lang w:val="ru-RU"/>
        </w:rPr>
        <w:t>продукции на рынке государств – членов Таможенного союза («ЕА</w:t>
      </w:r>
      <w:r w:rsidR="00184EB5">
        <w:rPr>
          <w:lang w:val="ru-RU"/>
        </w:rPr>
        <w:t>Э</w:t>
      </w:r>
      <w:r w:rsidRPr="00E33E77">
        <w:rPr>
          <w:lang w:val="ru-RU"/>
        </w:rPr>
        <w:t>С»), свидетельствующий о том, что товар прошел все установленные в технических регламен</w:t>
      </w:r>
      <w:r w:rsidRPr="00E33E77">
        <w:rPr>
          <w:lang w:val="ru-RU"/>
        </w:rPr>
        <w:lastRenderedPageBreak/>
        <w:t>тах Таможенного союза процедуры оценки (подтверждения) соответствия и соответствует требованиям всех распространяющихся на данную продукцию технических регламентов Таможенного союза, что подтверждено документами, предусмотренными для соответствующих форм оценки соответствия в Таможенном союзе.</w:t>
      </w:r>
    </w:p>
    <w:p w14:paraId="16A831AD" w14:textId="1C18F769" w:rsidR="00E33E77" w:rsidRPr="00E33E77" w:rsidRDefault="00E33E77" w:rsidP="008610A2">
      <w:pPr>
        <w:numPr>
          <w:ilvl w:val="0"/>
          <w:numId w:val="54"/>
        </w:numPr>
        <w:spacing w:before="240" w:after="0" w:line="240" w:lineRule="exact"/>
        <w:jc w:val="both"/>
        <w:rPr>
          <w:color w:val="000000"/>
          <w:lang w:val="ru-RU"/>
        </w:rPr>
      </w:pPr>
      <w:r w:rsidRPr="00E33E77">
        <w:rPr>
          <w:lang w:val="ru-RU"/>
        </w:rPr>
        <w:t>Качество, безопасность, пищевая ценность, условия изготовления и хранения, сроки годности, транспортировка и приемка Товара должны соответствовать требованиям соответствующих стандартов (ГОСТов), техническим условиям (ТУ), СанПиНов, принятых для данного вида товара, установленным законодательством Российской Федерации и нормативными правовыми актами Российской Федерации.</w:t>
      </w:r>
    </w:p>
    <w:p w14:paraId="4D866C0D" w14:textId="1A605F13" w:rsidR="00E33E77" w:rsidRPr="00E33E77" w:rsidRDefault="00E33E77" w:rsidP="00867BF4">
      <w:pPr>
        <w:numPr>
          <w:ilvl w:val="0"/>
          <w:numId w:val="54"/>
        </w:numPr>
        <w:spacing w:before="240" w:after="0" w:line="240" w:lineRule="exact"/>
        <w:jc w:val="both"/>
        <w:rPr>
          <w:lang w:val="ru-RU"/>
        </w:rPr>
      </w:pPr>
      <w:r w:rsidRPr="00E33E77">
        <w:rPr>
          <w:lang w:val="ru-RU"/>
        </w:rPr>
        <w:t xml:space="preserve">Поставляемый  Товар должен отвечать требованиям качества, содержащимся в нормативно-правовых и нормативных технических актах Российской Федерации, и/или требованиям </w:t>
      </w:r>
      <w:r w:rsidR="00E729AB">
        <w:rPr>
          <w:lang w:val="ru-RU"/>
        </w:rPr>
        <w:t>АГР</w:t>
      </w:r>
      <w:r w:rsidRPr="00E33E77">
        <w:rPr>
          <w:lang w:val="ru-RU"/>
        </w:rPr>
        <w:t xml:space="preserve">, установленным в соответствующем Договоре и/или приложениях к нему. </w:t>
      </w:r>
      <w:r w:rsidR="00D50098">
        <w:rPr>
          <w:lang w:val="ru-RU"/>
        </w:rPr>
        <w:t>Контрагент</w:t>
      </w:r>
      <w:r w:rsidR="00D50098" w:rsidRPr="00E33E77">
        <w:rPr>
          <w:lang w:val="ru-RU"/>
        </w:rPr>
        <w:t xml:space="preserve"> </w:t>
      </w:r>
      <w:r w:rsidRPr="00E33E77">
        <w:rPr>
          <w:lang w:val="ru-RU"/>
        </w:rPr>
        <w:t xml:space="preserve">должен передать </w:t>
      </w:r>
      <w:r w:rsidR="00E729AB">
        <w:rPr>
          <w:lang w:val="ru-RU"/>
        </w:rPr>
        <w:t>АГР</w:t>
      </w:r>
      <w:r w:rsidR="00E729AB" w:rsidRPr="00E33E77">
        <w:rPr>
          <w:lang w:val="ru-RU"/>
        </w:rPr>
        <w:t xml:space="preserve"> </w:t>
      </w:r>
      <w:r w:rsidRPr="00E33E77">
        <w:rPr>
          <w:lang w:val="ru-RU"/>
        </w:rPr>
        <w:t>заверенную копию сертификата соответствия (качества) на товар</w:t>
      </w:r>
      <w:r w:rsidR="008610A2" w:rsidRPr="00DC27CD">
        <w:rPr>
          <w:lang w:val="ru-RU"/>
        </w:rPr>
        <w:t xml:space="preserve">, </w:t>
      </w:r>
      <w:r w:rsidR="008610A2" w:rsidRPr="008610A2">
        <w:rPr>
          <w:lang w:val="ru-RU"/>
        </w:rPr>
        <w:t>когда товар подлежит сертификации</w:t>
      </w:r>
      <w:r w:rsidRPr="00E33E77">
        <w:rPr>
          <w:lang w:val="ru-RU"/>
        </w:rPr>
        <w:t xml:space="preserve"> и/или декларации соответствия.</w:t>
      </w:r>
    </w:p>
    <w:p w14:paraId="38EBFD06" w14:textId="508174B6" w:rsidR="00E33E77" w:rsidRPr="00BA7C1F" w:rsidRDefault="00D50098" w:rsidP="00E33E77">
      <w:pPr>
        <w:numPr>
          <w:ilvl w:val="0"/>
          <w:numId w:val="54"/>
        </w:numPr>
        <w:spacing w:before="240" w:after="0" w:line="240" w:lineRule="exact"/>
        <w:jc w:val="both"/>
        <w:rPr>
          <w:color w:val="000000"/>
          <w:lang w:val="ru-RU"/>
        </w:rPr>
      </w:pPr>
      <w:r>
        <w:rPr>
          <w:lang w:val="ru-RU"/>
        </w:rPr>
        <w:t xml:space="preserve">Контрагент </w:t>
      </w:r>
      <w:r w:rsidR="00E33E77" w:rsidRPr="00E33E77">
        <w:rPr>
          <w:lang w:val="ru-RU"/>
        </w:rPr>
        <w:t>устанавливает гарантийный срок на поставляемые канцелярские товары, равный сроку гарантии фирмы – изготовителя (если иной срок не указан в спецификации, прилагаемой к Товару), с момента доставки Товара и подписания Сторонами Товарной накладной по форме № ТОРГ-12.</w:t>
      </w:r>
    </w:p>
    <w:p w14:paraId="11673B6B" w14:textId="57112099" w:rsidR="002E0264" w:rsidRPr="00BA7C1F" w:rsidRDefault="002E0264" w:rsidP="00BA7C1F">
      <w:pPr>
        <w:pStyle w:val="aa"/>
        <w:numPr>
          <w:ilvl w:val="1"/>
          <w:numId w:val="18"/>
        </w:numPr>
        <w:tabs>
          <w:tab w:val="left" w:pos="1418"/>
        </w:tabs>
        <w:spacing w:before="240" w:after="0" w:line="240" w:lineRule="exact"/>
        <w:jc w:val="both"/>
        <w:rPr>
          <w:rFonts w:ascii="Verdana" w:hAnsi="Verdana"/>
          <w:lang w:val="ru-RU"/>
        </w:rPr>
      </w:pPr>
      <w:r w:rsidRPr="00BA7C1F">
        <w:rPr>
          <w:rFonts w:ascii="Verdana" w:hAnsi="Verdana"/>
          <w:lang w:val="ru-RU"/>
        </w:rPr>
        <w:t>Форма предоставления КП</w:t>
      </w:r>
    </w:p>
    <w:p w14:paraId="1B44FF90" w14:textId="77777777" w:rsidR="002E0264" w:rsidRPr="00BA7C1F" w:rsidRDefault="002E0264" w:rsidP="00BA7C1F">
      <w:pPr>
        <w:pStyle w:val="aa"/>
        <w:spacing w:before="240" w:after="0" w:line="240" w:lineRule="exact"/>
        <w:ind w:left="858"/>
        <w:rPr>
          <w:color w:val="000000"/>
          <w:lang w:val="ru-RU"/>
        </w:rPr>
      </w:pPr>
    </w:p>
    <w:p w14:paraId="481F0E71" w14:textId="658255DF" w:rsidR="00E33E77" w:rsidRPr="0006787E" w:rsidRDefault="002E0264" w:rsidP="00BA7C1F">
      <w:pPr>
        <w:pStyle w:val="aa"/>
        <w:numPr>
          <w:ilvl w:val="0"/>
          <w:numId w:val="57"/>
        </w:numPr>
        <w:tabs>
          <w:tab w:val="left" w:pos="1276"/>
        </w:tabs>
        <w:spacing w:after="0" w:line="240" w:lineRule="auto"/>
        <w:ind w:left="284" w:hanging="284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Необходимо предоставть КП </w:t>
      </w:r>
      <w:r w:rsidR="00867BF4">
        <w:rPr>
          <w:rFonts w:ascii="Verdana" w:hAnsi="Verdana"/>
          <w:lang w:val="ru-RU"/>
        </w:rPr>
        <w:t>согласно Приложению 1 к текущему ТЗ «Поставка</w:t>
      </w:r>
      <w:r w:rsidR="00867BF4" w:rsidRPr="00867BF4">
        <w:rPr>
          <w:rFonts w:ascii="Verdana" w:hAnsi="Verdana"/>
          <w:lang w:val="ru-RU"/>
        </w:rPr>
        <w:t xml:space="preserve"> канцелярских товаров и продуктов питания для подразделения</w:t>
      </w:r>
      <w:r w:rsidR="00867BF4">
        <w:rPr>
          <w:rFonts w:ascii="Verdana" w:hAnsi="Verdana"/>
          <w:lang w:val="ru-RU"/>
        </w:rPr>
        <w:t>», а также специальные условия на весь ассортимент Каталога.</w:t>
      </w:r>
    </w:p>
    <w:p w14:paraId="3A481BB2" w14:textId="560E9674" w:rsidR="0043359F" w:rsidRPr="00091034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091034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2" w:name="_Toc84854376"/>
      <w:bookmarkStart w:id="63" w:name="_Toc84854377"/>
      <w:bookmarkEnd w:id="62"/>
      <w:r w:rsidRPr="00091034">
        <w:rPr>
          <w:rFonts w:ascii="Verdana" w:hAnsi="Verdana"/>
        </w:rPr>
        <w:t>Срок действия Договора</w:t>
      </w:r>
      <w:bookmarkEnd w:id="63"/>
    </w:p>
    <w:p w14:paraId="0E3227E9" w14:textId="77777777" w:rsidR="00AB77F7" w:rsidRPr="00091034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72C6D63B" w14:textId="297B421E" w:rsidR="00EA5761" w:rsidRPr="00091034" w:rsidRDefault="00E33E77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  <w:r>
        <w:rPr>
          <w:rFonts w:ascii="Verdana" w:hAnsi="Verdana"/>
          <w:lang w:val="ru-RU"/>
        </w:rPr>
        <w:t xml:space="preserve">            </w:t>
      </w:r>
      <w:r w:rsidRPr="005967F9">
        <w:rPr>
          <w:rFonts w:ascii="Verdana" w:hAnsi="Verdana"/>
          <w:lang w:val="ru-RU"/>
        </w:rPr>
        <w:t>1 год</w:t>
      </w:r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 w:rsidRPr="00091034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5768EC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5F17C252" w:rsidR="00FF5A18" w:rsidRPr="00E33E77" w:rsidRDefault="00E33E77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           Х</w:t>
            </w:r>
          </w:p>
        </w:tc>
      </w:tr>
    </w:tbl>
    <w:p w14:paraId="59DC1FBC" w14:textId="77777777" w:rsidR="00FF5A18" w:rsidRPr="00091034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lastRenderedPageBreak/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08C89388" w:rsidR="00C82515" w:rsidRPr="00091034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091034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091034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875CEE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77777777" w:rsidR="0089661C" w:rsidRPr="00505B6A" w:rsidRDefault="0089661C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77777777" w:rsidR="0089661C" w:rsidRPr="00505B6A" w:rsidRDefault="0089661C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33F1D75C" w:rsidR="00505B6A" w:rsidRPr="00091034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091034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154C9DBF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 w:rsidRPr="00091034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5768EC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395CFB3B" w:rsidR="00DE4081" w:rsidRPr="00091034" w:rsidRDefault="00F05CFA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 w:rsidRPr="00F05CFA"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875CEE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875CEE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875CEE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091034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843" w:type="pct"/>
        <w:tblLook w:val="0600" w:firstRow="0" w:lastRow="0" w:firstColumn="0" w:lastColumn="0" w:noHBand="1" w:noVBand="1"/>
      </w:tblPr>
      <w:tblGrid>
        <w:gridCol w:w="3688"/>
        <w:gridCol w:w="5101"/>
      </w:tblGrid>
      <w:tr w:rsidR="00EA5761" w:rsidRPr="00091034" w14:paraId="39223483" w14:textId="054F47A2" w:rsidTr="00740042">
        <w:trPr>
          <w:cantSplit/>
        </w:trPr>
        <w:tc>
          <w:tcPr>
            <w:tcW w:w="2098" w:type="pct"/>
          </w:tcPr>
          <w:p w14:paraId="1DF6E3FF" w14:textId="38456A71" w:rsidR="00EA5761" w:rsidRPr="00091034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02" w:type="pct"/>
          </w:tcPr>
          <w:p w14:paraId="23957E7D" w14:textId="56E4098D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EA5761" w:rsidRPr="00875CEE" w14:paraId="57C50B05" w14:textId="7364A656" w:rsidTr="00740042">
        <w:trPr>
          <w:cantSplit/>
        </w:trPr>
        <w:tc>
          <w:tcPr>
            <w:tcW w:w="2098" w:type="pct"/>
          </w:tcPr>
          <w:p w14:paraId="70455AC8" w14:textId="15B1CDE6" w:rsidR="00EA5761" w:rsidRPr="00740042" w:rsidRDefault="008A47C8" w:rsidP="00740042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</w:tc>
        <w:tc>
          <w:tcPr>
            <w:tcW w:w="2902" w:type="pct"/>
          </w:tcPr>
          <w:p w14:paraId="2FB898A7" w14:textId="2C1D1969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875CEE" w14:paraId="5FD057C4" w14:textId="77777777" w:rsidTr="00740042">
        <w:trPr>
          <w:cantSplit/>
          <w:trHeight w:val="1268"/>
        </w:trPr>
        <w:tc>
          <w:tcPr>
            <w:tcW w:w="2098" w:type="pct"/>
          </w:tcPr>
          <w:p w14:paraId="7B5F7F3E" w14:textId="4F8B3DF3" w:rsidR="008A47C8" w:rsidRPr="00091034" w:rsidRDefault="008A47C8" w:rsidP="00740042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02" w:type="pct"/>
          </w:tcPr>
          <w:p w14:paraId="19A165F0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875CEE" w14:paraId="69B2ECEC" w14:textId="77777777" w:rsidTr="00740042">
        <w:trPr>
          <w:cantSplit/>
        </w:trPr>
        <w:tc>
          <w:tcPr>
            <w:tcW w:w="2098" w:type="pct"/>
          </w:tcPr>
          <w:p w14:paraId="0FB7E4DC" w14:textId="77777777" w:rsidR="00475D28" w:rsidRPr="00091034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lastRenderedPageBreak/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091034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02" w:type="pct"/>
          </w:tcPr>
          <w:p w14:paraId="146E6204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5967F9" w14:paraId="58F8443E" w14:textId="77777777" w:rsidTr="00740042">
        <w:trPr>
          <w:cantSplit/>
        </w:trPr>
        <w:tc>
          <w:tcPr>
            <w:tcW w:w="2098" w:type="pct"/>
          </w:tcPr>
          <w:p w14:paraId="223B6A81" w14:textId="77777777" w:rsidR="00475D28" w:rsidRPr="00091034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091034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02" w:type="pct"/>
          </w:tcPr>
          <w:p w14:paraId="7623DD93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E16FADF" w14:textId="3555BF77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0C27CC24" w:rsidR="00533A21" w:rsidRPr="00091034" w:rsidRDefault="00533A21" w:rsidP="00AF191D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091034">
        <w:rPr>
          <w:rFonts w:ascii="Verdana" w:hAnsi="Verdana"/>
          <w:bCs/>
          <w:lang w:val="ru-RU"/>
        </w:rPr>
        <w:t>АГР</w:t>
      </w:r>
      <w:r w:rsidRPr="00091034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</w:p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48A14A36" w14:textId="510E5822" w:rsidR="003D0A9D" w:rsidRPr="00091034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07" w:name="_Toc84854381"/>
      <w:bookmarkStart w:id="108" w:name="_Toc84854382"/>
      <w:bookmarkEnd w:id="107"/>
      <w:r w:rsidRPr="00091034">
        <w:rPr>
          <w:rFonts w:ascii="Verdana" w:hAnsi="Verdana"/>
          <w:lang w:val="ru-RU"/>
        </w:rPr>
        <w:lastRenderedPageBreak/>
        <w:t>Приложения</w:t>
      </w:r>
      <w:bookmarkEnd w:id="108"/>
    </w:p>
    <w:p w14:paraId="5E93F7DD" w14:textId="6992C102" w:rsidR="003D0A9D" w:rsidRPr="00091034" w:rsidRDefault="00F05CFA" w:rsidP="00136E79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bookmarkStart w:id="109" w:name="_Toc513111868"/>
      <w:bookmarkStart w:id="110" w:name="_Toc513193643"/>
      <w:bookmarkStart w:id="111" w:name="_Toc513193653"/>
      <w:bookmarkStart w:id="112" w:name="_Toc513193691"/>
      <w:bookmarkStart w:id="113" w:name="_Toc513220069"/>
      <w:bookmarkStart w:id="114" w:name="_Toc514681495"/>
      <w:bookmarkStart w:id="115" w:name="_Toc514681505"/>
      <w:bookmarkStart w:id="116" w:name="_Toc514681515"/>
      <w:bookmarkStart w:id="117" w:name="_Toc517901923"/>
      <w:bookmarkStart w:id="118" w:name="_Toc517901933"/>
      <w:bookmarkStart w:id="119" w:name="_Toc517901943"/>
      <w:bookmarkStart w:id="120" w:name="_Toc517902090"/>
      <w:bookmarkStart w:id="121" w:name="_Toc517902126"/>
      <w:bookmarkStart w:id="122" w:name="_Toc517902136"/>
      <w:bookmarkStart w:id="123" w:name="_Toc517902243"/>
      <w:bookmarkStart w:id="124" w:name="_Toc517902470"/>
      <w:r>
        <w:rPr>
          <w:rFonts w:ascii="Verdana" w:hAnsi="Verdana"/>
          <w:iCs/>
          <w:lang w:val="ru-RU"/>
        </w:rPr>
        <w:t>1</w:t>
      </w:r>
      <w:r w:rsidR="003D0A9D" w:rsidRPr="00091034">
        <w:rPr>
          <w:rFonts w:ascii="Verdana" w:hAnsi="Verdana"/>
          <w:iCs/>
          <w:lang w:val="ru-RU"/>
        </w:rPr>
        <w:t>.</w:t>
      </w:r>
      <w:r w:rsidR="003D0A9D" w:rsidRPr="00091034">
        <w:rPr>
          <w:rFonts w:ascii="Verdana" w:hAnsi="Verdana"/>
          <w:i/>
          <w:iCs/>
          <w:color w:val="0070C0"/>
          <w:lang w:val="ru-RU"/>
        </w:rPr>
        <w:tab/>
      </w:r>
      <w:r w:rsidR="003D0A9D" w:rsidRPr="00091034">
        <w:rPr>
          <w:rFonts w:ascii="Verdana" w:hAnsi="Verdana"/>
          <w:lang w:val="ru-RU"/>
        </w:rPr>
        <w:t xml:space="preserve">Форма сметы </w:t>
      </w:r>
    </w:p>
    <w:p w14:paraId="6D98BD03" w14:textId="0916530E" w:rsidR="003D0A9D" w:rsidRPr="00091034" w:rsidRDefault="003D0A9D" w:rsidP="00F05CFA">
      <w:pPr>
        <w:tabs>
          <w:tab w:val="left" w:pos="426"/>
        </w:tabs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r w:rsidRPr="00091034">
        <w:rPr>
          <w:rFonts w:ascii="Verdana" w:hAnsi="Verdana"/>
          <w:lang w:val="ru-RU"/>
        </w:rPr>
        <w:t xml:space="preserve"> </w:t>
      </w:r>
    </w:p>
    <w:p w14:paraId="1798133B" w14:textId="5FE34C90" w:rsidR="003D0A9D" w:rsidRPr="00091034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p w14:paraId="53A82B33" w14:textId="77777777" w:rsidR="00A12803" w:rsidRPr="00091034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A12803" w:rsidRPr="00091034" w:rsidSect="000172E2">
      <w:headerReference w:type="default" r:id="rId14"/>
      <w:footerReference w:type="default" r:id="rId15"/>
      <w:headerReference w:type="first" r:id="rId16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0C342" w14:textId="77777777" w:rsidR="00A25D00" w:rsidRDefault="00A25D00">
      <w:r>
        <w:separator/>
      </w:r>
    </w:p>
  </w:endnote>
  <w:endnote w:type="continuationSeparator" w:id="0">
    <w:p w14:paraId="614ACA92" w14:textId="77777777" w:rsidR="00A25D00" w:rsidRDefault="00A25D00">
      <w:r>
        <w:continuationSeparator/>
      </w:r>
    </w:p>
  </w:endnote>
  <w:endnote w:type="continuationNotice" w:id="1">
    <w:p w14:paraId="71E63704" w14:textId="77777777" w:rsidR="00A25D00" w:rsidRDefault="00A25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875CEE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6935E752" w:rsidR="007063F0" w:rsidRPr="00091034" w:rsidRDefault="007063F0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091034" w:rsidRPr="00091034">
            <w:rPr>
              <w:rFonts w:ascii="Verdana" w:eastAsia="DengXian" w:hAnsi="Verdana" w:cs="Arial"/>
              <w:sz w:val="14"/>
              <w:szCs w:val="14"/>
              <w:highlight w:val="yellow"/>
              <w:lang w:val="ru-RU"/>
            </w:rPr>
            <w:t>ХХХ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>
            <w:rPr>
              <w:rFonts w:ascii="Verdana" w:eastAsia="DengXian" w:hAnsi="Verdana" w:cs="Arial"/>
            </w:rPr>
            <w:t xml:space="preserve"> 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770ADADA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BA7C1F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BA7C1F">
            <w:rPr>
              <w:rFonts w:ascii="Verdana" w:eastAsia="DengXian" w:hAnsi="Verdana" w:cs="Arial"/>
              <w:noProof/>
              <w:sz w:val="14"/>
              <w:szCs w:val="14"/>
            </w:rPr>
            <w:t>7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6049F" w14:textId="77777777" w:rsidR="00A25D00" w:rsidRDefault="00A25D00">
      <w:r>
        <w:separator/>
      </w:r>
    </w:p>
  </w:footnote>
  <w:footnote w:type="continuationSeparator" w:id="0">
    <w:p w14:paraId="34629B10" w14:textId="77777777" w:rsidR="00A25D00" w:rsidRDefault="00A25D00">
      <w:r>
        <w:continuationSeparator/>
      </w:r>
    </w:p>
  </w:footnote>
  <w:footnote w:type="continuationNotice" w:id="1">
    <w:p w14:paraId="41D0FD49" w14:textId="77777777" w:rsidR="00A25D00" w:rsidRDefault="00A25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Внутренний конкурс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091034" w14:paraId="71E279F7" w14:textId="77777777" w:rsidTr="00F05CFA">
            <w:trPr>
              <w:trHeight w:val="149"/>
              <w:jc w:val="right"/>
            </w:trPr>
            <w:tc>
              <w:tcPr>
                <w:tcW w:w="1263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390EE04C" w:rsidR="00EB1794" w:rsidRPr="00F05CFA" w:rsidRDefault="00F05CFA" w:rsidP="00091034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05CFA">
                  <w:rPr>
                    <w:rFonts w:ascii="Verdana" w:hAnsi="Verdana"/>
                    <w:sz w:val="16"/>
                    <w:szCs w:val="16"/>
                    <w:lang w:val="ru-RU"/>
                  </w:rPr>
                  <w:t>_Департамент ППерсонала</w:t>
                </w:r>
              </w:p>
              <w:p w14:paraId="0EA366AA" w14:textId="2AE3F062" w:rsidR="00EB1794" w:rsidRPr="00F05CFA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091034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5FB3CD1C" w:rsidR="00EB1794" w:rsidRPr="00F05CFA" w:rsidRDefault="00F05CFA" w:rsidP="00F05CFA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05CFA">
                  <w:rPr>
                    <w:rFonts w:ascii="Verdana" w:hAnsi="Verdana"/>
                    <w:sz w:val="16"/>
                    <w:szCs w:val="16"/>
                    <w:lang w:val="ru-RU"/>
                  </w:rPr>
                  <w:t>_19.02.2024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2B18C6"/>
    <w:multiLevelType w:val="hybridMultilevel"/>
    <w:tmpl w:val="3E9EB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C955892"/>
    <w:multiLevelType w:val="hybridMultilevel"/>
    <w:tmpl w:val="1E8EB0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6" w15:restartNumberingAfterBreak="0">
    <w:nsid w:val="51A30E10"/>
    <w:multiLevelType w:val="hybridMultilevel"/>
    <w:tmpl w:val="4948BE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8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9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26C9B"/>
    <w:multiLevelType w:val="hybridMultilevel"/>
    <w:tmpl w:val="8D3A8D48"/>
    <w:lvl w:ilvl="0" w:tplc="0419000D">
      <w:start w:val="1"/>
      <w:numFmt w:val="bullet"/>
      <w:lvlText w:val=""/>
      <w:lvlJc w:val="left"/>
      <w:pPr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5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7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"/>
  </w:num>
  <w:num w:numId="3">
    <w:abstractNumId w:val="48"/>
  </w:num>
  <w:num w:numId="4">
    <w:abstractNumId w:val="18"/>
  </w:num>
  <w:num w:numId="5">
    <w:abstractNumId w:val="41"/>
  </w:num>
  <w:num w:numId="6">
    <w:abstractNumId w:val="2"/>
  </w:num>
  <w:num w:numId="7">
    <w:abstractNumId w:val="35"/>
  </w:num>
  <w:num w:numId="8">
    <w:abstractNumId w:val="37"/>
  </w:num>
  <w:num w:numId="9">
    <w:abstractNumId w:val="15"/>
  </w:num>
  <w:num w:numId="10">
    <w:abstractNumId w:val="4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0"/>
  </w:num>
  <w:num w:numId="15">
    <w:abstractNumId w:val="5"/>
  </w:num>
  <w:num w:numId="16">
    <w:abstractNumId w:val="21"/>
  </w:num>
  <w:num w:numId="17">
    <w:abstractNumId w:val="8"/>
  </w:num>
  <w:num w:numId="18">
    <w:abstractNumId w:val="32"/>
  </w:num>
  <w:num w:numId="19">
    <w:abstractNumId w:val="16"/>
  </w:num>
  <w:num w:numId="20">
    <w:abstractNumId w:val="46"/>
  </w:num>
  <w:num w:numId="21">
    <w:abstractNumId w:val="29"/>
  </w:num>
  <w:num w:numId="22">
    <w:abstractNumId w:val="17"/>
  </w:num>
  <w:num w:numId="23">
    <w:abstractNumId w:val="4"/>
  </w:num>
  <w:num w:numId="24">
    <w:abstractNumId w:val="49"/>
  </w:num>
  <w:num w:numId="25">
    <w:abstractNumId w:val="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7"/>
  </w:num>
  <w:num w:numId="29">
    <w:abstractNumId w:val="40"/>
  </w:num>
  <w:num w:numId="30">
    <w:abstractNumId w:val="3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  <w:num w:numId="34">
    <w:abstractNumId w:val="13"/>
  </w:num>
  <w:num w:numId="35">
    <w:abstractNumId w:val="25"/>
  </w:num>
  <w:num w:numId="36">
    <w:abstractNumId w:val="24"/>
  </w:num>
  <w:num w:numId="37">
    <w:abstractNumId w:val="23"/>
  </w:num>
  <w:num w:numId="38">
    <w:abstractNumId w:val="27"/>
  </w:num>
  <w:num w:numId="39">
    <w:abstractNumId w:val="43"/>
  </w:num>
  <w:num w:numId="40">
    <w:abstractNumId w:val="33"/>
  </w:num>
  <w:num w:numId="41">
    <w:abstractNumId w:val="0"/>
  </w:num>
  <w:num w:numId="42">
    <w:abstractNumId w:val="39"/>
  </w:num>
  <w:num w:numId="43">
    <w:abstractNumId w:val="9"/>
  </w:num>
  <w:num w:numId="44">
    <w:abstractNumId w:val="45"/>
  </w:num>
  <w:num w:numId="45">
    <w:abstractNumId w:val="3"/>
  </w:num>
  <w:num w:numId="46">
    <w:abstractNumId w:val="22"/>
  </w:num>
  <w:num w:numId="47">
    <w:abstractNumId w:val="14"/>
  </w:num>
  <w:num w:numId="48">
    <w:abstractNumId w:val="47"/>
  </w:num>
  <w:num w:numId="49">
    <w:abstractNumId w:val="44"/>
  </w:num>
  <w:num w:numId="50">
    <w:abstractNumId w:val="32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28"/>
  </w:num>
  <w:num w:numId="54">
    <w:abstractNumId w:val="26"/>
  </w:num>
  <w:num w:numId="55">
    <w:abstractNumId w:val="11"/>
  </w:num>
  <w:num w:numId="56">
    <w:abstractNumId w:val="34"/>
  </w:num>
  <w:num w:numId="57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6787E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E7837"/>
    <w:rsid w:val="000F0AB3"/>
    <w:rsid w:val="000F5C73"/>
    <w:rsid w:val="0010749E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826BB"/>
    <w:rsid w:val="00184EB5"/>
    <w:rsid w:val="00191406"/>
    <w:rsid w:val="00196C9E"/>
    <w:rsid w:val="0019719B"/>
    <w:rsid w:val="00197D8E"/>
    <w:rsid w:val="001A39FD"/>
    <w:rsid w:val="001B4368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0264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A7F81"/>
    <w:rsid w:val="004B6350"/>
    <w:rsid w:val="004B75A8"/>
    <w:rsid w:val="004C05EC"/>
    <w:rsid w:val="004C1A22"/>
    <w:rsid w:val="004C2BC4"/>
    <w:rsid w:val="004C7CDB"/>
    <w:rsid w:val="004D3EC3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1484"/>
    <w:rsid w:val="00533A21"/>
    <w:rsid w:val="005435DD"/>
    <w:rsid w:val="005642C5"/>
    <w:rsid w:val="0056477D"/>
    <w:rsid w:val="00576313"/>
    <w:rsid w:val="005768EC"/>
    <w:rsid w:val="005946BD"/>
    <w:rsid w:val="00595357"/>
    <w:rsid w:val="00596035"/>
    <w:rsid w:val="005967F9"/>
    <w:rsid w:val="005A3505"/>
    <w:rsid w:val="005A54D2"/>
    <w:rsid w:val="005A6294"/>
    <w:rsid w:val="005B1F36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A9F"/>
    <w:rsid w:val="00663D5F"/>
    <w:rsid w:val="006650DF"/>
    <w:rsid w:val="0066653B"/>
    <w:rsid w:val="006709DD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45A1"/>
    <w:rsid w:val="006C5EA4"/>
    <w:rsid w:val="006D3852"/>
    <w:rsid w:val="006D46A8"/>
    <w:rsid w:val="006E4C12"/>
    <w:rsid w:val="006F00A0"/>
    <w:rsid w:val="006F0A53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0042"/>
    <w:rsid w:val="00742259"/>
    <w:rsid w:val="00744284"/>
    <w:rsid w:val="00752B3D"/>
    <w:rsid w:val="00752FE4"/>
    <w:rsid w:val="00755BE4"/>
    <w:rsid w:val="0076538C"/>
    <w:rsid w:val="007725C4"/>
    <w:rsid w:val="00775490"/>
    <w:rsid w:val="007858F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1163"/>
    <w:rsid w:val="007D463A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610A2"/>
    <w:rsid w:val="00867BF4"/>
    <w:rsid w:val="008705AA"/>
    <w:rsid w:val="00871D7D"/>
    <w:rsid w:val="00875CEE"/>
    <w:rsid w:val="00881CA6"/>
    <w:rsid w:val="00883B46"/>
    <w:rsid w:val="00885988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27EE3"/>
    <w:rsid w:val="00933110"/>
    <w:rsid w:val="00935A0B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25D00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1B34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35916"/>
    <w:rsid w:val="00B47915"/>
    <w:rsid w:val="00B515E5"/>
    <w:rsid w:val="00B51877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944C2"/>
    <w:rsid w:val="00BA6A6C"/>
    <w:rsid w:val="00BA7C1F"/>
    <w:rsid w:val="00BB584E"/>
    <w:rsid w:val="00BB5CA7"/>
    <w:rsid w:val="00BB7CB4"/>
    <w:rsid w:val="00BC1C9C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BF7D9E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1D7D"/>
    <w:rsid w:val="00C34211"/>
    <w:rsid w:val="00C438A1"/>
    <w:rsid w:val="00C46DEA"/>
    <w:rsid w:val="00C542CE"/>
    <w:rsid w:val="00C65AE8"/>
    <w:rsid w:val="00C706BA"/>
    <w:rsid w:val="00C72362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1541"/>
    <w:rsid w:val="00D15D5B"/>
    <w:rsid w:val="00D16E41"/>
    <w:rsid w:val="00D22E88"/>
    <w:rsid w:val="00D27279"/>
    <w:rsid w:val="00D36DDB"/>
    <w:rsid w:val="00D410C3"/>
    <w:rsid w:val="00D411EC"/>
    <w:rsid w:val="00D44065"/>
    <w:rsid w:val="00D50098"/>
    <w:rsid w:val="00D50D4C"/>
    <w:rsid w:val="00D50EE9"/>
    <w:rsid w:val="00D5655E"/>
    <w:rsid w:val="00D57A88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C27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3E77"/>
    <w:rsid w:val="00E34F4E"/>
    <w:rsid w:val="00E415A8"/>
    <w:rsid w:val="00E41DD4"/>
    <w:rsid w:val="00E45EB1"/>
    <w:rsid w:val="00E46239"/>
    <w:rsid w:val="00E479F5"/>
    <w:rsid w:val="00E502E6"/>
    <w:rsid w:val="00E5626A"/>
    <w:rsid w:val="00E71E22"/>
    <w:rsid w:val="00E71FC8"/>
    <w:rsid w:val="00E72136"/>
    <w:rsid w:val="00E724C5"/>
    <w:rsid w:val="00E729AB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CFA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4D4E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1778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ksandra.Petrova@agr.aut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vgeniya.Najmushina@agr.aut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na.Temnitskaya@agr.aut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purl.org/dc/elements/1.1/"/>
    <ds:schemaRef ds:uri="http://schemas.microsoft.com/office/2006/metadata/properties"/>
    <ds:schemaRef ds:uri="529705ba-42a4-4106-8d7d-dd938774e8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4314B-8F58-4BF2-B0A9-D3E6A06E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7</Pages>
  <Words>1031</Words>
  <Characters>7665</Characters>
  <Application>Microsoft Office Word</Application>
  <DocSecurity>4</DocSecurity>
  <Lines>63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Krivova, Darya</cp:lastModifiedBy>
  <cp:revision>2</cp:revision>
  <cp:lastPrinted>2021-08-23T13:56:00Z</cp:lastPrinted>
  <dcterms:created xsi:type="dcterms:W3CDTF">2024-03-25T11:53:00Z</dcterms:created>
  <dcterms:modified xsi:type="dcterms:W3CDTF">2024-03-25T11:53:00Z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