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D4" w:rsidRDefault="00A656AA">
      <w:pPr>
        <w:widowControl w:val="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Общие положения</w:t>
      </w:r>
    </w:p>
    <w:p w:rsidR="003E41D4" w:rsidRDefault="003E41D4">
      <w:pPr>
        <w:widowControl w:val="0"/>
        <w:jc w:val="center"/>
        <w:rPr>
          <w:rFonts w:ascii="Arial" w:eastAsia="Arial" w:hAnsi="Arial" w:cs="Arial"/>
          <w:b/>
          <w:sz w:val="22"/>
        </w:rPr>
      </w:pPr>
    </w:p>
    <w:p w:rsidR="003E41D4" w:rsidRDefault="00A656AA">
      <w:pPr>
        <w:widowControl w:val="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ТРЕБОВАНИЯ ЗАКАЗЧИКА</w:t>
      </w:r>
    </w:p>
    <w:p w:rsidR="003E41D4" w:rsidRDefault="00A656AA">
      <w:pPr>
        <w:widowControl w:val="0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b/>
          <w:sz w:val="22"/>
        </w:rPr>
        <w:t>к выполнению работ по разработке интернет-ресурсов компаний, входящих в Группу Т1 на собственной CMS системе «Комета»</w:t>
      </w:r>
    </w:p>
    <w:p w:rsidR="003E41D4" w:rsidRDefault="003E41D4">
      <w:pPr>
        <w:widowControl w:val="0"/>
        <w:jc w:val="center"/>
        <w:rPr>
          <w:rFonts w:ascii="Arial" w:eastAsia="Arial" w:hAnsi="Arial" w:cs="Arial"/>
          <w:b/>
          <w:sz w:val="22"/>
        </w:rPr>
      </w:pPr>
    </w:p>
    <w:p w:rsidR="003E41D4" w:rsidRDefault="00A656AA">
      <w:pPr>
        <w:widowControl w:val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color w:val="FF0000"/>
          <w:sz w:val="20"/>
        </w:rPr>
        <w:t xml:space="preserve">Любая информация, содержащаяся в настоящем документе, признается конфиденциальной (за исключением </w:t>
      </w:r>
      <w:r>
        <w:rPr>
          <w:rFonts w:ascii="Arial" w:eastAsia="Arial" w:hAnsi="Arial" w:cs="Arial"/>
          <w:color w:val="FF0000"/>
          <w:sz w:val="20"/>
        </w:rPr>
        <w:t>информации, которая не может признаваться конфиденциальной на</w:t>
      </w:r>
      <w:r>
        <w:rPr>
          <w:rFonts w:ascii="Arial" w:eastAsia="Arial" w:hAnsi="Arial" w:cs="Arial"/>
          <w:color w:val="FF0000"/>
          <w:sz w:val="20"/>
        </w:rPr>
        <w:br/>
        <w:t>основании закона).</w:t>
      </w:r>
      <w:r>
        <w:rPr>
          <w:rFonts w:ascii="Arial" w:eastAsia="Arial" w:hAnsi="Arial" w:cs="Arial"/>
          <w:color w:val="FF0000"/>
          <w:sz w:val="20"/>
        </w:rPr>
        <w:br/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:rsidR="003E41D4" w:rsidRDefault="003E41D4">
      <w:pPr>
        <w:widowControl w:val="0"/>
        <w:jc w:val="center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spacing w:before="100" w:after="120"/>
        <w:jc w:val="both"/>
        <w:rPr>
          <w:rFonts w:ascii="Arial" w:eastAsia="Arial" w:hAnsi="Arial" w:cs="Arial"/>
          <w:sz w:val="22"/>
        </w:rPr>
      </w:pPr>
    </w:p>
    <w:p w:rsidR="003E41D4" w:rsidRDefault="00A656AA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  <w:u w:val="single"/>
        </w:rPr>
        <w:t>Заказчик:</w:t>
      </w:r>
      <w:r>
        <w:rPr>
          <w:rFonts w:ascii="Arial" w:eastAsia="Arial" w:hAnsi="Arial" w:cs="Arial"/>
          <w:sz w:val="22"/>
        </w:rPr>
        <w:t xml:space="preserve"> Груп</w:t>
      </w:r>
      <w:r>
        <w:rPr>
          <w:rFonts w:ascii="Arial" w:eastAsia="Arial" w:hAnsi="Arial" w:cs="Arial"/>
          <w:sz w:val="22"/>
        </w:rPr>
        <w:t xml:space="preserve">па Т1 </w:t>
      </w: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https://t1.ru/</w:t>
        </w:r>
      </w:hyperlink>
      <w:r>
        <w:rPr>
          <w:rFonts w:ascii="Arial" w:eastAsia="Arial" w:hAnsi="Arial" w:cs="Arial"/>
          <w:color w:val="0000FF"/>
          <w:sz w:val="22"/>
          <w:u w:val="single"/>
        </w:rPr>
        <w:t>.</w:t>
      </w:r>
      <w:r>
        <w:rPr>
          <w:rFonts w:ascii="Arial" w:eastAsia="Arial" w:hAnsi="Arial" w:cs="Arial"/>
          <w:sz w:val="22"/>
        </w:rPr>
        <w:t xml:space="preserve"> 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:rsidR="003E41D4" w:rsidRDefault="00A656AA">
      <w:pPr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br/>
        <w:t>Многопрофильный холдинг, один из лидеров российского</w:t>
      </w:r>
      <w:r>
        <w:rPr>
          <w:rFonts w:ascii="Arial" w:eastAsia="Arial" w:hAnsi="Arial" w:cs="Arial"/>
          <w:sz w:val="22"/>
        </w:rPr>
        <w:t xml:space="preserve">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</w:t>
      </w:r>
      <w:r>
        <w:rPr>
          <w:rFonts w:ascii="Arial" w:eastAsia="Arial" w:hAnsi="Arial" w:cs="Arial"/>
          <w:sz w:val="22"/>
        </w:rPr>
        <w:t xml:space="preserve">й специфики заказчиков. В состав холдинга входят компании Т1 Интеграция, Т1 Консалтинг, Т1 </w:t>
      </w:r>
      <w:proofErr w:type="spellStart"/>
      <w:r>
        <w:rPr>
          <w:rFonts w:ascii="Arial" w:eastAsia="Arial" w:hAnsi="Arial" w:cs="Arial"/>
          <w:sz w:val="22"/>
        </w:rPr>
        <w:t>Cloud</w:t>
      </w:r>
      <w:proofErr w:type="spellEnd"/>
      <w:r>
        <w:rPr>
          <w:rFonts w:ascii="Arial" w:eastAsia="Arial" w:hAnsi="Arial" w:cs="Arial"/>
          <w:sz w:val="22"/>
        </w:rPr>
        <w:t xml:space="preserve">, </w:t>
      </w:r>
      <w:proofErr w:type="spellStart"/>
      <w:r>
        <w:rPr>
          <w:rFonts w:ascii="Arial" w:eastAsia="Arial" w:hAnsi="Arial" w:cs="Arial"/>
          <w:sz w:val="22"/>
        </w:rPr>
        <w:t>Иннотех</w:t>
      </w:r>
      <w:proofErr w:type="spellEnd"/>
      <w:r>
        <w:rPr>
          <w:rFonts w:ascii="Arial" w:eastAsia="Arial" w:hAnsi="Arial" w:cs="Arial"/>
          <w:sz w:val="22"/>
        </w:rPr>
        <w:t xml:space="preserve">, </w:t>
      </w:r>
      <w:proofErr w:type="spellStart"/>
      <w:r>
        <w:rPr>
          <w:rFonts w:ascii="Arial" w:eastAsia="Arial" w:hAnsi="Arial" w:cs="Arial"/>
          <w:sz w:val="22"/>
        </w:rPr>
        <w:t>Дататех</w:t>
      </w:r>
      <w:proofErr w:type="spellEnd"/>
      <w:r>
        <w:rPr>
          <w:rFonts w:ascii="Arial" w:eastAsia="Arial" w:hAnsi="Arial" w:cs="Arial"/>
          <w:sz w:val="22"/>
        </w:rPr>
        <w:t xml:space="preserve">, </w:t>
      </w:r>
      <w:proofErr w:type="spellStart"/>
      <w:r>
        <w:rPr>
          <w:rFonts w:ascii="Arial" w:eastAsia="Arial" w:hAnsi="Arial" w:cs="Arial"/>
          <w:sz w:val="22"/>
        </w:rPr>
        <w:t>МультиКарта</w:t>
      </w:r>
      <w:proofErr w:type="spellEnd"/>
      <w:r>
        <w:rPr>
          <w:rFonts w:ascii="Arial" w:eastAsia="Arial" w:hAnsi="Arial" w:cs="Arial"/>
          <w:sz w:val="22"/>
        </w:rPr>
        <w:t xml:space="preserve"> и </w:t>
      </w:r>
      <w:proofErr w:type="spellStart"/>
      <w:r>
        <w:rPr>
          <w:rFonts w:ascii="Arial" w:eastAsia="Arial" w:hAnsi="Arial" w:cs="Arial"/>
          <w:sz w:val="22"/>
        </w:rPr>
        <w:t>Сервионика</w:t>
      </w:r>
      <w:proofErr w:type="spellEnd"/>
      <w:r>
        <w:rPr>
          <w:rFonts w:ascii="Arial" w:eastAsia="Arial" w:hAnsi="Arial" w:cs="Arial"/>
          <w:sz w:val="22"/>
        </w:rPr>
        <w:t>. Они обладают профессиональной экспертизой в области системной интеграции, консалтинга, разработки ПО на заказ, Big</w:t>
      </w:r>
      <w:r>
        <w:rPr>
          <w:rFonts w:ascii="Arial" w:eastAsia="Arial" w:hAnsi="Arial" w:cs="Arial"/>
          <w:sz w:val="22"/>
        </w:rPr>
        <w:t xml:space="preserve">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</w:t>
      </w:r>
      <w:r>
        <w:rPr>
          <w:rFonts w:ascii="Arial" w:eastAsia="Arial" w:hAnsi="Arial" w:cs="Arial"/>
          <w:sz w:val="22"/>
        </w:rPr>
        <w:t>цифровой трансформации для заказчиков любой отрасли, уровня развития инфраструктуры и масштаба. 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</w:t>
      </w:r>
      <w:r>
        <w:rPr>
          <w:rFonts w:ascii="Arial" w:eastAsia="Arial" w:hAnsi="Arial" w:cs="Arial"/>
          <w:sz w:val="22"/>
        </w:rPr>
        <w:t>но-энергетические, транспортные и торговые предприятия.</w:t>
      </w:r>
    </w:p>
    <w:p w:rsidR="003E41D4" w:rsidRDefault="003E41D4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spacing w:before="120" w:after="120"/>
        <w:ind w:left="792"/>
        <w:jc w:val="both"/>
        <w:rPr>
          <w:rFonts w:ascii="Arial" w:eastAsia="Arial" w:hAnsi="Arial" w:cs="Arial"/>
          <w:sz w:val="22"/>
        </w:rPr>
      </w:pPr>
    </w:p>
    <w:p w:rsidR="003E41D4" w:rsidRDefault="00A656AA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spacing w:before="120" w:after="12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Ключевые направления деятельности Заказчика:</w:t>
      </w:r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Автоматизация и роботизация бизнес-процессов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Большие данные, клиентский опыт и AI/ML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Информационная безопасность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>Инженерная инфраструктура, ЦОД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0">
        <w:r>
          <w:rPr>
            <w:rFonts w:ascii="Arial" w:eastAsia="Arial" w:hAnsi="Arial" w:cs="Arial"/>
            <w:color w:val="0000FF"/>
            <w:sz w:val="22"/>
            <w:u w:val="single"/>
          </w:rPr>
          <w:t>Облачные сервисы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1">
        <w:r>
          <w:rPr>
            <w:rFonts w:ascii="Arial" w:eastAsia="Arial" w:hAnsi="Arial" w:cs="Arial"/>
            <w:color w:val="0000FF"/>
            <w:sz w:val="22"/>
            <w:u w:val="single"/>
          </w:rPr>
          <w:t>Платежные решения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2">
        <w:r>
          <w:rPr>
            <w:rFonts w:ascii="Arial" w:eastAsia="Arial" w:hAnsi="Arial" w:cs="Arial"/>
            <w:color w:val="0000FF"/>
            <w:sz w:val="22"/>
            <w:u w:val="single"/>
          </w:rPr>
          <w:t>Промышленный инжиниринг и  HYPERLINK "https://t1.ru/solutions/services/promyshlen</w:t>
        </w:r>
        <w:r>
          <w:rPr>
            <w:rFonts w:ascii="Arial" w:eastAsia="Arial" w:hAnsi="Arial" w:cs="Arial"/>
            <w:color w:val="0000FF"/>
            <w:sz w:val="22"/>
            <w:u w:val="single"/>
          </w:rPr>
          <w:t>nyy-inzhiniring-i-iot/"IoT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3">
        <w:r>
          <w:rPr>
            <w:rFonts w:ascii="Arial" w:eastAsia="Arial" w:hAnsi="Arial" w:cs="Arial"/>
            <w:color w:val="0000FF"/>
            <w:sz w:val="22"/>
            <w:u w:val="single"/>
          </w:rPr>
          <w:t>Сервисы и аутсорсинг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4">
        <w:r>
          <w:rPr>
            <w:rFonts w:ascii="Arial" w:eastAsia="Arial" w:hAnsi="Arial" w:cs="Arial"/>
            <w:color w:val="0000FF"/>
            <w:sz w:val="22"/>
            <w:u w:val="single"/>
          </w:rPr>
          <w:t>Сетевые и коммуникационные решения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5">
        <w:r>
          <w:rPr>
            <w:rFonts w:ascii="Arial" w:eastAsia="Arial" w:hAnsi="Arial" w:cs="Arial"/>
            <w:color w:val="0000FF"/>
            <w:sz w:val="22"/>
            <w:u w:val="single"/>
          </w:rPr>
          <w:t>Цифровой и ИТ-консалтинг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6">
        <w:r>
          <w:rPr>
            <w:rFonts w:ascii="Arial" w:eastAsia="Arial" w:hAnsi="Arial" w:cs="Arial"/>
            <w:color w:val="0000FF"/>
            <w:sz w:val="22"/>
            <w:u w:val="single"/>
          </w:rPr>
          <w:t>Управление ИТ-инфраструктурой</w:t>
        </w:r>
      </w:hyperlink>
    </w:p>
    <w:p w:rsidR="003E41D4" w:rsidRDefault="00A656AA">
      <w:pPr>
        <w:ind w:left="708"/>
        <w:rPr>
          <w:rFonts w:ascii="Arial" w:eastAsia="Arial" w:hAnsi="Arial" w:cs="Arial"/>
          <w:sz w:val="22"/>
        </w:rPr>
      </w:pPr>
      <w:hyperlink r:id="rId17">
        <w:r>
          <w:rPr>
            <w:rFonts w:ascii="Arial" w:eastAsia="Arial" w:hAnsi="Arial" w:cs="Arial"/>
            <w:color w:val="0000FF"/>
            <w:sz w:val="22"/>
            <w:u w:val="single"/>
          </w:rPr>
          <w:t>Вычислительные комплексы и хранилища данных</w:t>
        </w:r>
      </w:hyperlink>
    </w:p>
    <w:p w:rsidR="003E41D4" w:rsidRDefault="00A656AA">
      <w:pPr>
        <w:ind w:left="708"/>
        <w:rPr>
          <w:rFonts w:ascii="Times New Roman" w:eastAsia="Times New Roman" w:hAnsi="Times New Roman" w:cs="Times New Roman"/>
          <w:sz w:val="22"/>
        </w:rPr>
      </w:pPr>
      <w:hyperlink r:id="rId18">
        <w:r>
          <w:rPr>
            <w:rFonts w:ascii="Arial" w:eastAsia="Arial" w:hAnsi="Arial" w:cs="Arial"/>
            <w:color w:val="0000FF"/>
            <w:sz w:val="22"/>
            <w:u w:val="single"/>
          </w:rPr>
          <w:t>Заказная разработка ПО</w:t>
        </w:r>
      </w:hyperlink>
    </w:p>
    <w:p w:rsidR="003E41D4" w:rsidRDefault="003E41D4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spacing w:before="120" w:after="120"/>
        <w:jc w:val="both"/>
        <w:rPr>
          <w:rFonts w:ascii="Arial" w:eastAsia="Arial" w:hAnsi="Arial" w:cs="Arial"/>
          <w:sz w:val="22"/>
        </w:rPr>
      </w:pPr>
    </w:p>
    <w:p w:rsidR="003E41D4" w:rsidRDefault="00A656AA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spacing w:before="120" w:after="12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Предмет закупки</w:t>
      </w:r>
      <w:r>
        <w:rPr>
          <w:rFonts w:ascii="Arial" w:eastAsia="Arial" w:hAnsi="Arial" w:cs="Arial"/>
          <w:sz w:val="22"/>
        </w:rPr>
        <w:t xml:space="preserve">: </w:t>
      </w:r>
    </w:p>
    <w:p w:rsidR="003E41D4" w:rsidRDefault="003E41D4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spacing w:before="120" w:after="120"/>
        <w:jc w:val="both"/>
        <w:rPr>
          <w:rFonts w:ascii="Arial" w:eastAsia="Arial" w:hAnsi="Arial" w:cs="Arial"/>
          <w:b/>
          <w:sz w:val="22"/>
        </w:rPr>
      </w:pPr>
    </w:p>
    <w:p w:rsidR="003E41D4" w:rsidRPr="004D45F7" w:rsidRDefault="00A656AA" w:rsidP="004D45F7">
      <w:pPr>
        <w:widowControl w:val="0"/>
        <w:tabs>
          <w:tab w:val="left" w:pos="0"/>
          <w:tab w:val="left" w:pos="671"/>
          <w:tab w:val="left" w:pos="709"/>
          <w:tab w:val="left" w:pos="881"/>
          <w:tab w:val="left" w:pos="1314"/>
        </w:tabs>
        <w:spacing w:before="120" w:after="120"/>
        <w:ind w:left="79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Лот: Разработка интернет-ресурс</w:t>
      </w:r>
      <w:r>
        <w:rPr>
          <w:rFonts w:ascii="Arial" w:eastAsia="Arial" w:hAnsi="Arial" w:cs="Arial"/>
          <w:sz w:val="22"/>
        </w:rPr>
        <w:t>ов компаний, входящих в Группу Т1 на собственной CMS системе «Комета»</w:t>
      </w:r>
    </w:p>
    <w:p w:rsidR="003E41D4" w:rsidRDefault="00A656AA">
      <w:pPr>
        <w:widowControl w:val="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>ТРЕБОВАНИЯ ЗАКАЗЧИКА</w:t>
      </w:r>
    </w:p>
    <w:p w:rsidR="003E41D4" w:rsidRDefault="00A656AA">
      <w:pPr>
        <w:widowControl w:val="0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b/>
          <w:sz w:val="22"/>
        </w:rPr>
        <w:t>к выполнению работ по разработке интернет-ресурсов компаний, входящих в Группу Т1 на собственной CMS системе «Комета»</w:t>
      </w:r>
    </w:p>
    <w:p w:rsidR="003E41D4" w:rsidRDefault="00A656AA">
      <w:pPr>
        <w:widowControl w:val="0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b/>
          <w:sz w:val="22"/>
        </w:rPr>
        <w:br/>
      </w:r>
    </w:p>
    <w:p w:rsidR="003E41D4" w:rsidRDefault="00A656AA">
      <w:pPr>
        <w:widowControl w:val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color w:val="FF0000"/>
          <w:sz w:val="20"/>
        </w:rPr>
        <w:t xml:space="preserve">Любая информация, содержащаяся в настоящем </w:t>
      </w:r>
      <w:r>
        <w:rPr>
          <w:rFonts w:ascii="Arial" w:eastAsia="Arial" w:hAnsi="Arial" w:cs="Arial"/>
          <w:color w:val="FF0000"/>
          <w:sz w:val="20"/>
        </w:rPr>
        <w:t>документе, признается конфиденциальной (за исключением информации, которая не может признаваться конфиденциальной на</w:t>
      </w:r>
      <w:r>
        <w:rPr>
          <w:rFonts w:ascii="Arial" w:eastAsia="Arial" w:hAnsi="Arial" w:cs="Arial"/>
          <w:color w:val="FF0000"/>
          <w:sz w:val="20"/>
        </w:rPr>
        <w:br/>
        <w:t>основании закона).</w:t>
      </w:r>
      <w:r>
        <w:rPr>
          <w:rFonts w:ascii="Arial" w:eastAsia="Arial" w:hAnsi="Arial" w:cs="Arial"/>
          <w:color w:val="FF0000"/>
          <w:sz w:val="20"/>
        </w:rPr>
        <w:br/>
        <w:t>Убытки, наступившие в результате нарушения конфиденциальности, определяются и возмещается в соответствии с действующим з</w:t>
      </w:r>
      <w:r>
        <w:rPr>
          <w:rFonts w:ascii="Arial" w:eastAsia="Arial" w:hAnsi="Arial" w:cs="Arial"/>
          <w:color w:val="FF0000"/>
          <w:sz w:val="20"/>
        </w:rPr>
        <w:t>аконодательством Российской Федерации.</w:t>
      </w:r>
    </w:p>
    <w:p w:rsidR="003E41D4" w:rsidRDefault="003E41D4">
      <w:pPr>
        <w:widowControl w:val="0"/>
        <w:jc w:val="center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ind w:left="1224"/>
        <w:jc w:val="both"/>
        <w:rPr>
          <w:rFonts w:ascii="Arial" w:eastAsia="Arial" w:hAnsi="Arial" w:cs="Arial"/>
          <w:sz w:val="22"/>
        </w:rPr>
      </w:pPr>
    </w:p>
    <w:p w:rsidR="003E41D4" w:rsidRDefault="00A656AA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Объем работ:</w:t>
      </w: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Pr="00EC5CEA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A656AA">
      <w:pPr>
        <w:widowControl w:val="0"/>
        <w:numPr>
          <w:ilvl w:val="0"/>
          <w:numId w:val="1"/>
        </w:numPr>
        <w:tabs>
          <w:tab w:val="left" w:pos="426"/>
        </w:tabs>
        <w:spacing w:after="120" w:line="276" w:lineRule="auto"/>
        <w:ind w:left="36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Frontend</w:t>
      </w:r>
      <w:proofErr w:type="spellEnd"/>
      <w:r>
        <w:rPr>
          <w:rFonts w:ascii="Arial" w:eastAsia="Arial" w:hAnsi="Arial" w:cs="Arial"/>
          <w:sz w:val="22"/>
        </w:rPr>
        <w:t xml:space="preserve">-работы - создание новых блоков в CMS из макетов в </w:t>
      </w:r>
      <w:proofErr w:type="spellStart"/>
      <w:r>
        <w:rPr>
          <w:rFonts w:ascii="Arial" w:eastAsia="Arial" w:hAnsi="Arial" w:cs="Arial"/>
          <w:sz w:val="22"/>
        </w:rPr>
        <w:t>Figma</w:t>
      </w:r>
      <w:proofErr w:type="spellEnd"/>
      <w:r>
        <w:rPr>
          <w:rFonts w:ascii="Arial" w:eastAsia="Arial" w:hAnsi="Arial" w:cs="Arial"/>
          <w:sz w:val="22"/>
        </w:rPr>
        <w:t xml:space="preserve"> с учетом адаптивности и разных </w:t>
      </w:r>
      <w:proofErr w:type="spellStart"/>
      <w:r>
        <w:rPr>
          <w:rFonts w:ascii="Arial" w:eastAsia="Arial" w:hAnsi="Arial" w:cs="Arial"/>
          <w:sz w:val="22"/>
        </w:rPr>
        <w:t>брейкпоинтов</w:t>
      </w:r>
      <w:proofErr w:type="spellEnd"/>
      <w:r>
        <w:rPr>
          <w:rFonts w:ascii="Arial" w:eastAsia="Arial" w:hAnsi="Arial" w:cs="Arial"/>
          <w:sz w:val="22"/>
        </w:rPr>
        <w:t xml:space="preserve">, тестирование и внедрение.  Создание новых модулей административной панели CMS под расширение </w:t>
      </w:r>
      <w:proofErr w:type="spellStart"/>
      <w:r>
        <w:rPr>
          <w:rFonts w:ascii="Arial" w:eastAsia="Arial" w:hAnsi="Arial" w:cs="Arial"/>
          <w:sz w:val="22"/>
        </w:rPr>
        <w:t>функционалньости</w:t>
      </w:r>
      <w:proofErr w:type="spellEnd"/>
      <w:r>
        <w:rPr>
          <w:rFonts w:ascii="Arial" w:eastAsia="Arial" w:hAnsi="Arial" w:cs="Arial"/>
          <w:sz w:val="22"/>
        </w:rPr>
        <w:t xml:space="preserve"> по требованиям заказчиков. Редизайн административной панели и внутренних интерфейсов для повышения удобства использования CMS. </w:t>
      </w:r>
    </w:p>
    <w:p w:rsidR="003E41D4" w:rsidRDefault="00A656AA">
      <w:pPr>
        <w:widowControl w:val="0"/>
        <w:numPr>
          <w:ilvl w:val="0"/>
          <w:numId w:val="1"/>
        </w:numPr>
        <w:tabs>
          <w:tab w:val="left" w:pos="426"/>
        </w:tabs>
        <w:spacing w:after="120" w:line="276" w:lineRule="auto"/>
        <w:ind w:left="36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Backend</w:t>
      </w:r>
      <w:proofErr w:type="spellEnd"/>
      <w:r>
        <w:rPr>
          <w:rFonts w:ascii="Arial" w:eastAsia="Arial" w:hAnsi="Arial" w:cs="Arial"/>
          <w:sz w:val="22"/>
        </w:rPr>
        <w:t>-разработ</w:t>
      </w:r>
      <w:r>
        <w:rPr>
          <w:rFonts w:ascii="Arial" w:eastAsia="Arial" w:hAnsi="Arial" w:cs="Arial"/>
          <w:sz w:val="22"/>
        </w:rPr>
        <w:t>ка (формы, базы данных</w:t>
      </w:r>
      <w:proofErr w:type="gramStart"/>
      <w:r>
        <w:rPr>
          <w:rFonts w:ascii="Arial" w:eastAsia="Arial" w:hAnsi="Arial" w:cs="Arial"/>
          <w:sz w:val="22"/>
        </w:rPr>
        <w:t>) :</w:t>
      </w:r>
      <w:proofErr w:type="gramEnd"/>
      <w:r>
        <w:rPr>
          <w:rFonts w:ascii="Arial" w:eastAsia="Arial" w:hAnsi="Arial" w:cs="Arial"/>
          <w:sz w:val="22"/>
        </w:rPr>
        <w:t xml:space="preserve"> Создание интеграционных сервисов. Расширение функциональности платформы CMS. Оптимизация кода и повышение скорости работы отдельных модулей системы. </w:t>
      </w:r>
    </w:p>
    <w:p w:rsidR="003E41D4" w:rsidRDefault="00A656AA">
      <w:pPr>
        <w:widowControl w:val="0"/>
        <w:numPr>
          <w:ilvl w:val="0"/>
          <w:numId w:val="1"/>
        </w:numPr>
        <w:tabs>
          <w:tab w:val="left" w:pos="426"/>
        </w:tabs>
        <w:spacing w:after="120" w:line="276" w:lineRule="auto"/>
        <w:ind w:left="720" w:hanging="72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Тестирование: функциональное и интеграционное тестирование, подготовка </w:t>
      </w:r>
      <w:proofErr w:type="spellStart"/>
      <w:r>
        <w:rPr>
          <w:rFonts w:ascii="Arial" w:eastAsia="Arial" w:hAnsi="Arial" w:cs="Arial"/>
          <w:sz w:val="22"/>
        </w:rPr>
        <w:t>тесткейсо</w:t>
      </w:r>
      <w:r>
        <w:rPr>
          <w:rFonts w:ascii="Arial" w:eastAsia="Arial" w:hAnsi="Arial" w:cs="Arial"/>
          <w:sz w:val="22"/>
        </w:rPr>
        <w:t>в</w:t>
      </w:r>
      <w:proofErr w:type="spellEnd"/>
      <w:r>
        <w:rPr>
          <w:rFonts w:ascii="Arial" w:eastAsia="Arial" w:hAnsi="Arial" w:cs="Arial"/>
          <w:sz w:val="22"/>
        </w:rPr>
        <w:t xml:space="preserve">, проведение приемо-сдаточных испытаний, </w:t>
      </w:r>
      <w:proofErr w:type="spellStart"/>
      <w:r>
        <w:rPr>
          <w:rFonts w:ascii="Arial" w:eastAsia="Arial" w:hAnsi="Arial" w:cs="Arial"/>
          <w:sz w:val="22"/>
        </w:rPr>
        <w:t>смоук</w:t>
      </w:r>
      <w:proofErr w:type="spellEnd"/>
      <w:r>
        <w:rPr>
          <w:rFonts w:ascii="Arial" w:eastAsia="Arial" w:hAnsi="Arial" w:cs="Arial"/>
          <w:sz w:val="22"/>
        </w:rPr>
        <w:t xml:space="preserve"> тестирование после внедрения, обработка поступающих ошибок, создание тестовой документации.</w:t>
      </w:r>
    </w:p>
    <w:p w:rsidR="003E41D4" w:rsidRDefault="00A656AA">
      <w:pPr>
        <w:widowControl w:val="0"/>
        <w:numPr>
          <w:ilvl w:val="0"/>
          <w:numId w:val="1"/>
        </w:numPr>
        <w:tabs>
          <w:tab w:val="left" w:pos="426"/>
        </w:tabs>
        <w:spacing w:after="120" w:line="276" w:lineRule="auto"/>
        <w:ind w:left="720" w:hanging="72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Аналитика: подготовка документации по созданию новой функциональности, доработка имеющейся документации, помощь разр</w:t>
      </w:r>
      <w:r>
        <w:rPr>
          <w:rFonts w:ascii="Arial" w:eastAsia="Arial" w:hAnsi="Arial" w:cs="Arial"/>
          <w:sz w:val="22"/>
        </w:rPr>
        <w:t>аботчикам, формулирование требований по задачам от заказчиков, проведение коммуникации с заказчиками.</w:t>
      </w:r>
    </w:p>
    <w:p w:rsidR="003E41D4" w:rsidRDefault="00A656AA">
      <w:pPr>
        <w:widowControl w:val="0"/>
        <w:numPr>
          <w:ilvl w:val="0"/>
          <w:numId w:val="1"/>
        </w:numPr>
        <w:tabs>
          <w:tab w:val="left" w:pos="426"/>
        </w:tabs>
        <w:spacing w:after="120" w:line="276" w:lineRule="auto"/>
        <w:ind w:left="720" w:hanging="72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Девопс</w:t>
      </w:r>
      <w:proofErr w:type="spellEnd"/>
      <w:r>
        <w:rPr>
          <w:rFonts w:ascii="Arial" w:eastAsia="Arial" w:hAnsi="Arial" w:cs="Arial"/>
          <w:sz w:val="22"/>
        </w:rPr>
        <w:t xml:space="preserve">: разработка </w:t>
      </w:r>
      <w:proofErr w:type="spellStart"/>
      <w:r>
        <w:rPr>
          <w:rFonts w:ascii="Arial" w:eastAsia="Arial" w:hAnsi="Arial" w:cs="Arial"/>
          <w:sz w:val="22"/>
        </w:rPr>
        <w:t>пайплайнов</w:t>
      </w:r>
      <w:proofErr w:type="spellEnd"/>
      <w:r>
        <w:rPr>
          <w:rFonts w:ascii="Arial" w:eastAsia="Arial" w:hAnsi="Arial" w:cs="Arial"/>
          <w:sz w:val="22"/>
        </w:rPr>
        <w:t xml:space="preserve"> автоматизированной установки обновлений и развертывания новых </w:t>
      </w:r>
      <w:proofErr w:type="spellStart"/>
      <w:r>
        <w:rPr>
          <w:rFonts w:ascii="Arial" w:eastAsia="Arial" w:hAnsi="Arial" w:cs="Arial"/>
          <w:sz w:val="22"/>
        </w:rPr>
        <w:t>инсталяций</w:t>
      </w:r>
      <w:proofErr w:type="spellEnd"/>
      <w:r>
        <w:rPr>
          <w:rFonts w:ascii="Arial" w:eastAsia="Arial" w:hAnsi="Arial" w:cs="Arial"/>
          <w:sz w:val="22"/>
        </w:rPr>
        <w:t xml:space="preserve">. </w:t>
      </w:r>
    </w:p>
    <w:p w:rsidR="003E41D4" w:rsidRDefault="00A656AA">
      <w:pPr>
        <w:widowControl w:val="0"/>
        <w:numPr>
          <w:ilvl w:val="0"/>
          <w:numId w:val="1"/>
        </w:numPr>
        <w:tabs>
          <w:tab w:val="left" w:pos="426"/>
        </w:tabs>
        <w:spacing w:after="120" w:line="276" w:lineRule="auto"/>
        <w:ind w:left="720" w:hanging="72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Релиз инженер: подготовка </w:t>
      </w:r>
      <w:proofErr w:type="spellStart"/>
      <w:r>
        <w:rPr>
          <w:rFonts w:ascii="Arial" w:eastAsia="Arial" w:hAnsi="Arial" w:cs="Arial"/>
          <w:sz w:val="22"/>
        </w:rPr>
        <w:t>релизных</w:t>
      </w:r>
      <w:proofErr w:type="spellEnd"/>
      <w:r>
        <w:rPr>
          <w:rFonts w:ascii="Arial" w:eastAsia="Arial" w:hAnsi="Arial" w:cs="Arial"/>
          <w:sz w:val="22"/>
        </w:rPr>
        <w:t xml:space="preserve"> сборок, органи</w:t>
      </w:r>
      <w:r>
        <w:rPr>
          <w:rFonts w:ascii="Arial" w:eastAsia="Arial" w:hAnsi="Arial" w:cs="Arial"/>
          <w:sz w:val="22"/>
        </w:rPr>
        <w:t xml:space="preserve">зация процесса внедрения в продуктивную эксплуатацию, участие в приемо-сдаточных испытаниях, контроль за составом и качеством </w:t>
      </w:r>
      <w:proofErr w:type="spellStart"/>
      <w:r>
        <w:rPr>
          <w:rFonts w:ascii="Arial" w:eastAsia="Arial" w:hAnsi="Arial" w:cs="Arial"/>
          <w:sz w:val="22"/>
        </w:rPr>
        <w:t>релизной</w:t>
      </w:r>
      <w:proofErr w:type="spellEnd"/>
      <w:r>
        <w:rPr>
          <w:rFonts w:ascii="Arial" w:eastAsia="Arial" w:hAnsi="Arial" w:cs="Arial"/>
          <w:sz w:val="22"/>
        </w:rPr>
        <w:t xml:space="preserve"> сборки. </w:t>
      </w:r>
    </w:p>
    <w:p w:rsidR="003E41D4" w:rsidRDefault="003E41D4">
      <w:pPr>
        <w:widowControl w:val="0"/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sz w:val="22"/>
        </w:rPr>
      </w:pP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A656AA">
      <w:pPr>
        <w:widowControl w:val="0"/>
        <w:numPr>
          <w:ilvl w:val="0"/>
          <w:numId w:val="2"/>
        </w:numPr>
        <w:tabs>
          <w:tab w:val="left" w:pos="567"/>
          <w:tab w:val="left" w:pos="1843"/>
        </w:tabs>
        <w:spacing w:line="276" w:lineRule="auto"/>
        <w:ind w:left="360" w:hanging="36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СТОИМОСТЬ И ПОРЯДОК РАСЧЕТОВ, СРОК ДЕЙСТВИЯ ДОГОВОРА</w:t>
      </w:r>
    </w:p>
    <w:p w:rsidR="00A656AA" w:rsidRDefault="00A656AA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Компенсация расходов Подрядчика за </w:t>
      </w:r>
      <w:r>
        <w:rPr>
          <w:rFonts w:ascii="Arial" w:eastAsia="Arial" w:hAnsi="Arial" w:cs="Arial"/>
          <w:sz w:val="22"/>
        </w:rPr>
        <w:t>услуги по разработке интернет-ресурсов компаний, входящих в Группу Т1 на собственной CMS системе «Комета», отличные от декабря соответствующего календарного года, осуществляется Заказчиком не позднее 15 (пятнадцати) рабочих дней с даты подписания Сторонами</w:t>
      </w:r>
      <w:r>
        <w:rPr>
          <w:rFonts w:ascii="Arial" w:eastAsia="Arial" w:hAnsi="Arial" w:cs="Arial"/>
          <w:sz w:val="22"/>
        </w:rPr>
        <w:t xml:space="preserve"> Акта сдачи-приемки оказанных услуг на основании счета и не ранее даты предоставления оригинала Акта сдачи-приемки оказанных услуг. Расчеты Сторон производятся в рублях Российской Федерации. Днем оплаты считается дата списания денежных средств с корреспонд</w:t>
      </w:r>
      <w:r>
        <w:rPr>
          <w:rFonts w:ascii="Arial" w:eastAsia="Arial" w:hAnsi="Arial" w:cs="Arial"/>
          <w:sz w:val="22"/>
        </w:rPr>
        <w:t>ентского счета Заказчика. Счет выставляется Подрядчиком не позднее 5 (пяти) рабочих дней со дня подписания Сторонами Акта сдачи-приемки оказанных услуг.</w:t>
      </w:r>
    </w:p>
    <w:p w:rsidR="003E41D4" w:rsidRDefault="00A656AA">
      <w:pPr>
        <w:jc w:val="both"/>
        <w:rPr>
          <w:rFonts w:ascii="Arial" w:eastAsia="Arial" w:hAnsi="Arial" w:cs="Arial"/>
          <w:sz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</w:rPr>
        <w:t>Компенсация расходов Подрядчика услуг по разработке интернет-ресурсов компаний, входящих в Группу Т</w:t>
      </w:r>
      <w:r>
        <w:rPr>
          <w:rFonts w:ascii="Arial" w:eastAsia="Arial" w:hAnsi="Arial" w:cs="Arial"/>
          <w:sz w:val="22"/>
        </w:rPr>
        <w:t xml:space="preserve">1 на собственной CMS системе «Комета» в декабре соответствующего календарного года производится Заказчиком не позднее, чем за 5 дней до окончания отчетного периода. Счет выставляется Подрядчиком не позднее 10 (десяти) рабочих дней </w:t>
      </w:r>
      <w:r>
        <w:rPr>
          <w:rFonts w:ascii="Arial" w:eastAsia="Arial" w:hAnsi="Arial" w:cs="Arial"/>
          <w:sz w:val="22"/>
        </w:rPr>
        <w:lastRenderedPageBreak/>
        <w:t>со дня подписания Сторона</w:t>
      </w:r>
      <w:r>
        <w:rPr>
          <w:rFonts w:ascii="Arial" w:eastAsia="Arial" w:hAnsi="Arial" w:cs="Arial"/>
          <w:sz w:val="22"/>
        </w:rPr>
        <w:t xml:space="preserve">ми Заявки. Окончательная стоимость услуг по разработке интернет-ресурсов компаний, входящих в Группу Т1 на собственной CMS системе «Комета» в отчетном периоде указывается в Отчетах Агента, предоставляемые Подрядчиком Заказчику. В том случае если стоимость </w:t>
      </w:r>
      <w:r>
        <w:rPr>
          <w:rFonts w:ascii="Arial" w:eastAsia="Arial" w:hAnsi="Arial" w:cs="Arial"/>
          <w:sz w:val="22"/>
        </w:rPr>
        <w:t>услуг за отчетный период составит сумму, меньше суммы согласованной Сторонами в соответствующей Заявке на декабрь календарного года к Договору, Агент обязуется вернуть сумму переплаты в срок, не позднее 30 (тридцати) календарных дней с момента подписания с</w:t>
      </w:r>
      <w:r>
        <w:rPr>
          <w:rFonts w:ascii="Arial" w:eastAsia="Arial" w:hAnsi="Arial" w:cs="Arial"/>
          <w:sz w:val="22"/>
        </w:rPr>
        <w:t xml:space="preserve">торонами Акта, либо зачесть в счет оплаты предстоящих работ по Договору в другие Отчетные периоды. </w:t>
      </w: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tabs>
          <w:tab w:val="left" w:pos="567"/>
          <w:tab w:val="left" w:pos="1843"/>
        </w:tabs>
        <w:spacing w:line="276" w:lineRule="auto"/>
        <w:jc w:val="both"/>
        <w:rPr>
          <w:rFonts w:ascii="Arial" w:eastAsia="Arial" w:hAnsi="Arial" w:cs="Arial"/>
          <w:b/>
          <w:sz w:val="22"/>
        </w:rPr>
      </w:pPr>
    </w:p>
    <w:p w:rsidR="003E41D4" w:rsidRDefault="003E41D4">
      <w:pPr>
        <w:widowControl w:val="0"/>
        <w:spacing w:after="200" w:line="276" w:lineRule="auto"/>
        <w:jc w:val="both"/>
        <w:rPr>
          <w:rFonts w:ascii="Arial" w:eastAsia="Arial" w:hAnsi="Arial" w:cs="Arial"/>
          <w:sz w:val="22"/>
        </w:rPr>
      </w:pPr>
    </w:p>
    <w:sectPr w:rsidR="003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2473"/>
    <w:multiLevelType w:val="multilevel"/>
    <w:tmpl w:val="368CE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143603"/>
    <w:multiLevelType w:val="multilevel"/>
    <w:tmpl w:val="7E445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D4"/>
    <w:rsid w:val="003E41D4"/>
    <w:rsid w:val="004D45F7"/>
    <w:rsid w:val="00A656AA"/>
    <w:rsid w:val="00AC71A7"/>
    <w:rsid w:val="00D8246D"/>
    <w:rsid w:val="00E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6F72"/>
  <w15:docId w15:val="{90BE4D38-9BA1-7D43-96CC-A9BE98F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solutions/services/informatsionnaya-bezopasnost/" TargetMode="External"/><Relationship Id="rId13" Type="http://schemas.openxmlformats.org/officeDocument/2006/relationships/hyperlink" Target="https://t1.ru/solutions/services/servisy-i-autsorsing/" TargetMode="External"/><Relationship Id="rId18" Type="http://schemas.openxmlformats.org/officeDocument/2006/relationships/hyperlink" Target="https://t1.ru/solutions/services/zakaznaya-razrabotka-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.ru/solutions/services/bolshie-dannye-klientskiy-opyt-i-ai-ml/" TargetMode="External"/><Relationship Id="rId12" Type="http://schemas.openxmlformats.org/officeDocument/2006/relationships/hyperlink" Target="https://t1.ru/solutions/services/promyshlennyy-inzhiniring-i-iot/" TargetMode="External"/><Relationship Id="rId17" Type="http://schemas.openxmlformats.org/officeDocument/2006/relationships/hyperlink" Target="https://t1.ru/solutions/services/vychislitelnye-kompleksy-i-khranilishcha-dannyk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1.ru/solutions/services/upravlenie-it-infrastrukturo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1.ru/solutions/services/avtomatizatsiya-i-robotizatsiya-biznes-protsessov/" TargetMode="External"/><Relationship Id="rId11" Type="http://schemas.openxmlformats.org/officeDocument/2006/relationships/hyperlink" Target="https://t1.ru/solutions/services/platezhnye-resheniya/" TargetMode="External"/><Relationship Id="rId5" Type="http://schemas.openxmlformats.org/officeDocument/2006/relationships/hyperlink" Target="https://t1.ru/" TargetMode="External"/><Relationship Id="rId15" Type="http://schemas.openxmlformats.org/officeDocument/2006/relationships/hyperlink" Target="https://t1.ru/solutions/services/tsifrovoy-i-it-konsalting/" TargetMode="External"/><Relationship Id="rId10" Type="http://schemas.openxmlformats.org/officeDocument/2006/relationships/hyperlink" Target="https://t1.ru/solutions/services/oblachnye-servis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1.ru/solutions/services/inzhenernaya-infrastruktura-tsod/" TargetMode="External"/><Relationship Id="rId14" Type="http://schemas.openxmlformats.org/officeDocument/2006/relationships/hyperlink" Target="https://t1.ru/solutions/services/setevye-i-kommunikatsionnye-res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Мануилов Владимир Юрьевич</cp:lastModifiedBy>
  <cp:revision>4</cp:revision>
  <dcterms:created xsi:type="dcterms:W3CDTF">2023-05-23T17:22:00Z</dcterms:created>
  <dcterms:modified xsi:type="dcterms:W3CDTF">2023-07-14T08:20:00Z</dcterms:modified>
</cp:coreProperties>
</file>