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056" w:rsidRPr="000B22A0" w:rsidRDefault="007848C7" w:rsidP="00452A68">
      <w:pPr>
        <w:ind w:firstLine="0"/>
        <w:jc w:val="left"/>
      </w:pPr>
      <w:r w:rsidRPr="007848C7">
        <w:t>Кран подвесной электрический однобалочный</w:t>
      </w:r>
      <w:r>
        <w:t xml:space="preserve"> (поз.2</w:t>
      </w:r>
      <w:r w:rsidR="00286B14">
        <w:t>2</w:t>
      </w:r>
      <w:r w:rsidR="00F93509">
        <w:t>2</w:t>
      </w:r>
      <w:r>
        <w:t xml:space="preserve">) в </w:t>
      </w:r>
      <w:r w:rsidRPr="000B22A0">
        <w:t>количестве 1 шт</w:t>
      </w:r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RPr="000B22A0" w:rsidTr="000171E5">
        <w:trPr>
          <w:trHeight w:val="278"/>
        </w:trPr>
        <w:tc>
          <w:tcPr>
            <w:tcW w:w="710" w:type="dxa"/>
          </w:tcPr>
          <w:p w:rsidR="00380643" w:rsidRPr="000B22A0" w:rsidRDefault="00380643" w:rsidP="00A309F9">
            <w:pPr>
              <w:spacing w:before="0"/>
              <w:ind w:firstLine="0"/>
              <w:jc w:val="center"/>
            </w:pPr>
            <w:r w:rsidRPr="000B22A0">
              <w:t>№ п/п</w:t>
            </w:r>
          </w:p>
        </w:tc>
        <w:tc>
          <w:tcPr>
            <w:tcW w:w="6379" w:type="dxa"/>
          </w:tcPr>
          <w:p w:rsidR="00380643" w:rsidRPr="000B22A0" w:rsidRDefault="00380643" w:rsidP="00A309F9">
            <w:pPr>
              <w:spacing w:before="0"/>
              <w:ind w:firstLine="0"/>
              <w:jc w:val="center"/>
            </w:pPr>
            <w:r w:rsidRPr="000B22A0">
              <w:t>Техническая характеристика</w:t>
            </w:r>
          </w:p>
        </w:tc>
        <w:tc>
          <w:tcPr>
            <w:tcW w:w="3060" w:type="dxa"/>
          </w:tcPr>
          <w:p w:rsidR="00380643" w:rsidRPr="000B22A0" w:rsidRDefault="00380643" w:rsidP="00A309F9">
            <w:pPr>
              <w:spacing w:before="0"/>
              <w:ind w:firstLine="0"/>
              <w:jc w:val="center"/>
            </w:pPr>
            <w:r w:rsidRPr="000B22A0">
              <w:t>Показатель</w:t>
            </w:r>
          </w:p>
        </w:tc>
      </w:tr>
      <w:tr w:rsidR="00380643" w:rsidRPr="000B22A0" w:rsidTr="000171E5">
        <w:trPr>
          <w:trHeight w:val="278"/>
        </w:trPr>
        <w:tc>
          <w:tcPr>
            <w:tcW w:w="710" w:type="dxa"/>
          </w:tcPr>
          <w:p w:rsidR="00380643" w:rsidRPr="000B22A0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0B22A0"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Pr="000B22A0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0B22A0"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Pr="000B22A0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0B22A0"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0B22A0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0B22A0" w:rsidRDefault="00380643" w:rsidP="00A309F9">
            <w:pPr>
              <w:spacing w:before="0"/>
              <w:ind w:firstLine="0"/>
              <w:jc w:val="left"/>
            </w:pPr>
            <w:r w:rsidRPr="000B22A0">
              <w:t>Грузоподъемность, т</w:t>
            </w:r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 w:rsidRPr="000B22A0">
              <w:t>5,0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Общая длина крана,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7,8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Пролет,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6,0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консолей,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0,9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>ма, м</w:t>
            </w:r>
          </w:p>
        </w:tc>
        <w:tc>
          <w:tcPr>
            <w:tcW w:w="3060" w:type="dxa"/>
            <w:vAlign w:val="center"/>
          </w:tcPr>
          <w:p w:rsidR="00380643" w:rsidRPr="001C3A72" w:rsidRDefault="005A634A" w:rsidP="00286B14">
            <w:pPr>
              <w:spacing w:before="0"/>
              <w:ind w:firstLine="0"/>
              <w:jc w:val="center"/>
            </w:pPr>
            <w:r>
              <w:t>2</w:t>
            </w:r>
            <w:r w:rsidR="00286B14">
              <w:t>4</w:t>
            </w:r>
            <w:r w:rsidR="001C3A72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подкранового пути,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286B14">
            <w:pPr>
              <w:spacing w:before="0"/>
              <w:ind w:firstLine="0"/>
              <w:jc w:val="center"/>
            </w:pPr>
            <w:r>
              <w:t>1</w:t>
            </w:r>
            <w:r w:rsidR="007160E0">
              <w:t>5</w:t>
            </w:r>
            <w:r>
              <w:t>,</w:t>
            </w:r>
            <w:r w:rsidR="00286B14">
              <w:t>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380643" w:rsidRPr="00380643" w:rsidRDefault="007160E0" w:rsidP="00286B14">
            <w:pPr>
              <w:spacing w:before="0"/>
              <w:ind w:firstLine="0"/>
              <w:jc w:val="center"/>
            </w:pPr>
            <w:r>
              <w:t>45</w:t>
            </w:r>
            <w:r w:rsidR="001C3A72">
              <w:t>М</w:t>
            </w:r>
            <w:r w:rsidR="00286B14">
              <w:t xml:space="preserve"> 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>ма,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тала,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крана,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5A634A" w:rsidP="0089075A">
            <w:pPr>
              <w:spacing w:before="0"/>
              <w:ind w:firstLine="0"/>
              <w:jc w:val="center"/>
            </w:pPr>
            <w:r>
              <w:t>Подвесной пульт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Напряжение питания, В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(подвесная грузовая электротележка)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0B5D99" w:rsidP="00D65403">
      <w:pPr>
        <w:ind w:firstLine="0"/>
      </w:pPr>
      <w:r>
        <w:rPr>
          <w:noProof/>
        </w:rPr>
        <w:drawing>
          <wp:inline distT="0" distB="0" distL="0" distR="0" wp14:anchorId="0DC4EC65">
            <wp:extent cx="6010910" cy="368236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Пролет L</w:t>
            </w:r>
            <w:r>
              <w:rPr>
                <w:rFonts w:cs="Arial"/>
                <w:sz w:val="18"/>
                <w:szCs w:val="18"/>
              </w:rPr>
              <w:t>п</w:t>
            </w:r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Размеры, мм</w:t>
            </w:r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9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7,8</w:t>
            </w:r>
          </w:p>
        </w:tc>
        <w:tc>
          <w:tcPr>
            <w:tcW w:w="428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646" w:type="pct"/>
            <w:vAlign w:val="center"/>
          </w:tcPr>
          <w:p w:rsidR="003D038B" w:rsidRPr="009A5A2A" w:rsidRDefault="00286B14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0B5D9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B5D99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599" w:type="pct"/>
            <w:vAlign w:val="center"/>
          </w:tcPr>
          <w:p w:rsidR="003D038B" w:rsidRPr="009A5A2A" w:rsidRDefault="007160E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="003D038B"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17,</w:t>
            </w:r>
            <w:r w:rsidR="005A634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31" w:type="pct"/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</w:t>
            </w:r>
            <w:r w:rsidR="005A634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25" w:type="pct"/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</w:t>
            </w:r>
            <w:r w:rsidR="005A634A">
              <w:rPr>
                <w:rFonts w:cs="Arial"/>
                <w:sz w:val="18"/>
                <w:szCs w:val="18"/>
              </w:rPr>
              <w:t>25</w:t>
            </w:r>
          </w:p>
        </w:tc>
      </w:tr>
    </w:tbl>
    <w:p w:rsidR="00191973" w:rsidRDefault="00191973" w:rsidP="00191973">
      <w:pPr>
        <w:ind w:firstLine="0"/>
      </w:pPr>
    </w:p>
    <w:p w:rsidR="00191973" w:rsidRPr="000B22A0" w:rsidRDefault="00191973" w:rsidP="002B6677">
      <w:pPr>
        <w:pageBreakBefore/>
        <w:ind w:firstLine="0"/>
      </w:pPr>
      <w:r>
        <w:lastRenderedPageBreak/>
        <w:t>Таль ручная передвижная червячная (поз. 2</w:t>
      </w:r>
      <w:r w:rsidR="00286B14">
        <w:t>2</w:t>
      </w:r>
      <w:r w:rsidR="00F93509">
        <w:t>3</w:t>
      </w:r>
      <w:r>
        <w:t xml:space="preserve">) в </w:t>
      </w:r>
      <w:r w:rsidRPr="000B22A0">
        <w:t>количестве 1 шт</w:t>
      </w:r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191973" w:rsidRPr="000B22A0" w:rsidTr="001165E9">
        <w:trPr>
          <w:trHeight w:val="280"/>
        </w:trPr>
        <w:tc>
          <w:tcPr>
            <w:tcW w:w="685" w:type="dxa"/>
          </w:tcPr>
          <w:p w:rsidR="00191973" w:rsidRPr="000B22A0" w:rsidRDefault="00191973" w:rsidP="001165E9">
            <w:pPr>
              <w:spacing w:before="0"/>
              <w:ind w:firstLine="0"/>
              <w:jc w:val="center"/>
            </w:pPr>
            <w:r w:rsidRPr="000B22A0">
              <w:t>№ п/п</w:t>
            </w:r>
          </w:p>
        </w:tc>
        <w:tc>
          <w:tcPr>
            <w:tcW w:w="6310" w:type="dxa"/>
          </w:tcPr>
          <w:p w:rsidR="00191973" w:rsidRPr="000B22A0" w:rsidRDefault="00191973" w:rsidP="001165E9">
            <w:pPr>
              <w:spacing w:before="0"/>
              <w:ind w:firstLine="0"/>
              <w:jc w:val="center"/>
            </w:pPr>
            <w:r w:rsidRPr="000B22A0">
              <w:t>Техническая характеристика</w:t>
            </w:r>
          </w:p>
        </w:tc>
        <w:tc>
          <w:tcPr>
            <w:tcW w:w="3057" w:type="dxa"/>
          </w:tcPr>
          <w:p w:rsidR="00191973" w:rsidRPr="000B22A0" w:rsidRDefault="00191973" w:rsidP="001165E9">
            <w:pPr>
              <w:spacing w:before="0"/>
              <w:ind w:firstLine="0"/>
              <w:jc w:val="center"/>
            </w:pPr>
            <w:r w:rsidRPr="000B22A0">
              <w:t>Показатель</w:t>
            </w:r>
          </w:p>
        </w:tc>
      </w:tr>
      <w:tr w:rsidR="00191973" w:rsidRPr="000B22A0" w:rsidTr="001165E9">
        <w:trPr>
          <w:trHeight w:val="280"/>
        </w:trPr>
        <w:tc>
          <w:tcPr>
            <w:tcW w:w="685" w:type="dxa"/>
          </w:tcPr>
          <w:p w:rsidR="00191973" w:rsidRPr="000B22A0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0B22A0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191973" w:rsidRPr="000B22A0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0B22A0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191973" w:rsidRPr="000B22A0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0B22A0">
              <w:rPr>
                <w:lang w:val="en-US"/>
              </w:rPr>
              <w:t>3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0B22A0" w:rsidRDefault="00191973" w:rsidP="00A24D37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0B22A0" w:rsidRDefault="00191973" w:rsidP="001165E9">
            <w:pPr>
              <w:spacing w:before="0"/>
              <w:ind w:firstLine="0"/>
              <w:jc w:val="left"/>
            </w:pPr>
            <w:r w:rsidRPr="000B22A0"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191973" w:rsidRPr="0089075A" w:rsidRDefault="00A24D37" w:rsidP="00A24D37">
            <w:pPr>
              <w:spacing w:before="0"/>
              <w:ind w:firstLine="0"/>
              <w:jc w:val="center"/>
            </w:pPr>
            <w:r w:rsidRPr="000B22A0">
              <w:t>3</w:t>
            </w:r>
            <w:r w:rsidR="00191973" w:rsidRPr="000B22A0">
              <w:t>,</w:t>
            </w:r>
            <w:r w:rsidRPr="000B22A0">
              <w:t>2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Высота подъёма, м</w:t>
            </w:r>
          </w:p>
        </w:tc>
        <w:tc>
          <w:tcPr>
            <w:tcW w:w="3057" w:type="dxa"/>
            <w:vAlign w:val="center"/>
          </w:tcPr>
          <w:p w:rsidR="00191973" w:rsidRPr="001C3A72" w:rsidRDefault="00286B14" w:rsidP="00286B14">
            <w:pPr>
              <w:spacing w:before="0"/>
              <w:ind w:firstLine="0"/>
              <w:jc w:val="center"/>
            </w:pPr>
            <w:r>
              <w:t>14</w:t>
            </w:r>
            <w:r w:rsidR="00191973">
              <w:t>,0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191973" w:rsidRPr="00380643" w:rsidRDefault="00286B14" w:rsidP="00A24D37">
            <w:pPr>
              <w:spacing w:before="0"/>
              <w:ind w:firstLine="0"/>
              <w:jc w:val="center"/>
            </w:pPr>
            <w:r>
              <w:t>36</w:t>
            </w:r>
            <w:r w:rsidR="00191973">
              <w:t>М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191973" w:rsidRDefault="007160E0" w:rsidP="00A24D37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М1</w:t>
            </w:r>
          </w:p>
        </w:tc>
      </w:tr>
      <w:tr w:rsidR="00191973" w:rsidRPr="00380643" w:rsidTr="001165E9">
        <w:trPr>
          <w:trHeight w:val="133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  <w:bookmarkStart w:id="0" w:name="_GoBack"/>
            <w:bookmarkEnd w:id="0"/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C8780D" w:rsidRDefault="00C8780D" w:rsidP="00E04199">
      <w:pPr>
        <w:ind w:firstLine="0"/>
      </w:pPr>
    </w:p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0"/>
      <w:footerReference w:type="first" r:id="rId11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F93509">
            <w:rPr>
              <w:noProof/>
              <w:lang w:val="en-US"/>
            </w:rPr>
            <w:t>1632-2021-2.1.2, 2.1.7-ТХ3_0_0_RU_IFC.pdf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51399F" w:rsidP="00F93509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1632-2021-2.1.2, 2.1.7-ТХ</w:t>
          </w:r>
          <w:r w:rsidR="00F93509">
            <w:rPr>
              <w:sz w:val="28"/>
            </w:rPr>
            <w:t>3</w:t>
          </w:r>
          <w:r>
            <w:rPr>
              <w:sz w:val="28"/>
            </w:rPr>
            <w:t>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51399F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0B22A0">
            <w:rPr>
              <w:noProof/>
              <w:sz w:val="22"/>
              <w:szCs w:val="22"/>
              <w:lang w:val="en-US"/>
            </w:rPr>
            <w:t>2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F93509">
            <w:rPr>
              <w:noProof/>
              <w:sz w:val="18"/>
              <w:lang w:val="en-US"/>
            </w:rPr>
            <w:t>1632-2021-2.1.2, 2.1.7-ТХ3_0_0_RU_IFC.pdf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5A634A" w:rsidP="00F93509">
          <w:pPr>
            <w:pStyle w:val="a9"/>
            <w:jc w:val="center"/>
            <w:rPr>
              <w:sz w:val="28"/>
            </w:rPr>
          </w:pPr>
          <w:r w:rsidRPr="005A634A">
            <w:rPr>
              <w:sz w:val="28"/>
            </w:rPr>
            <w:t>1632-2021-2.1.2, 2.1.7-ТХ</w:t>
          </w:r>
          <w:r w:rsidR="00F93509">
            <w:rPr>
              <w:sz w:val="28"/>
            </w:rPr>
            <w:t>3</w:t>
          </w:r>
          <w:r w:rsidR="00BE73C5" w:rsidRPr="00BE73C5">
            <w:rPr>
              <w:sz w:val="28"/>
            </w:rPr>
            <w:t>.</w:t>
          </w:r>
          <w:r w:rsidR="00BE73C5">
            <w:rPr>
              <w:sz w:val="28"/>
            </w:rPr>
            <w:t>ОЛ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86B14" w:rsidRDefault="005A634A" w:rsidP="007160E0">
          <w:pPr>
            <w:pStyle w:val="a9"/>
            <w:jc w:val="center"/>
            <w:rPr>
              <w:sz w:val="22"/>
            </w:rPr>
          </w:pPr>
          <w:r w:rsidRPr="005A634A">
            <w:rPr>
              <w:sz w:val="22"/>
            </w:rPr>
            <w:t>Конвейерная галерея №2 и №7</w:t>
          </w:r>
          <w:r w:rsidR="00286B14">
            <w:rPr>
              <w:sz w:val="22"/>
            </w:rPr>
            <w:t xml:space="preserve"> </w:t>
          </w:r>
        </w:p>
        <w:p w:rsidR="00876B3A" w:rsidRDefault="00286B14" w:rsidP="00F93509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 xml:space="preserve">в осях </w:t>
          </w:r>
          <w:r w:rsidR="00F93509">
            <w:rPr>
              <w:sz w:val="22"/>
            </w:rPr>
            <w:t>15</w:t>
          </w:r>
          <w:r>
            <w:rPr>
              <w:sz w:val="22"/>
            </w:rPr>
            <w:t>-</w:t>
          </w:r>
          <w:r w:rsidR="00F93509">
            <w:rPr>
              <w:sz w:val="22"/>
            </w:rPr>
            <w:t>23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5A634A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Р</w:t>
          </w: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0B22A0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0B22A0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29DF00A8" wp14:editId="6B28E97F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D0F4C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4" w15:restartNumberingAfterBreak="0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7594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54A20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1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0B22A0"/>
    <w:rsid w:val="000B5D99"/>
    <w:rsid w:val="0017100D"/>
    <w:rsid w:val="00182AD8"/>
    <w:rsid w:val="00191973"/>
    <w:rsid w:val="001C3A72"/>
    <w:rsid w:val="001D6ACC"/>
    <w:rsid w:val="00221B0A"/>
    <w:rsid w:val="00242236"/>
    <w:rsid w:val="00286B14"/>
    <w:rsid w:val="002A3A39"/>
    <w:rsid w:val="002B6677"/>
    <w:rsid w:val="002C2AFF"/>
    <w:rsid w:val="003472A9"/>
    <w:rsid w:val="00380643"/>
    <w:rsid w:val="003D038B"/>
    <w:rsid w:val="00452A68"/>
    <w:rsid w:val="004A069E"/>
    <w:rsid w:val="0051399F"/>
    <w:rsid w:val="00550D3E"/>
    <w:rsid w:val="005A634A"/>
    <w:rsid w:val="00627707"/>
    <w:rsid w:val="00661CC9"/>
    <w:rsid w:val="00665DC9"/>
    <w:rsid w:val="007160E0"/>
    <w:rsid w:val="0073374A"/>
    <w:rsid w:val="00757B91"/>
    <w:rsid w:val="007848C7"/>
    <w:rsid w:val="0085262F"/>
    <w:rsid w:val="00876B3A"/>
    <w:rsid w:val="0089075A"/>
    <w:rsid w:val="008B166D"/>
    <w:rsid w:val="009274F5"/>
    <w:rsid w:val="00991FC9"/>
    <w:rsid w:val="009E1D9C"/>
    <w:rsid w:val="00A24D37"/>
    <w:rsid w:val="00A309F9"/>
    <w:rsid w:val="00A8042B"/>
    <w:rsid w:val="00B065B4"/>
    <w:rsid w:val="00BE73C5"/>
    <w:rsid w:val="00C8780D"/>
    <w:rsid w:val="00D02EE9"/>
    <w:rsid w:val="00D539A9"/>
    <w:rsid w:val="00D65403"/>
    <w:rsid w:val="00E04199"/>
    <w:rsid w:val="00EC2A99"/>
    <w:rsid w:val="00F9142D"/>
    <w:rsid w:val="00F9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97C2033-C6EA-4DA2-B127-E512ED99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normacs://normacs.ru/2RB?dob=42125,000023&amp;dol=42174,36522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AD408-D4F9-40EF-A6D7-1A8AE6D6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17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Мышкина Ольга Александровна \ Olga Myshkina</cp:lastModifiedBy>
  <cp:revision>6</cp:revision>
  <dcterms:created xsi:type="dcterms:W3CDTF">2024-06-24T13:37:00Z</dcterms:created>
  <dcterms:modified xsi:type="dcterms:W3CDTF">2024-07-02T07:33:00Z</dcterms:modified>
</cp:coreProperties>
</file>