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61" w:rsidRDefault="00171CDD" w:rsidP="00780D61">
      <w:pPr>
        <w:jc w:val="right"/>
      </w:pPr>
      <w:r>
        <w:t xml:space="preserve">Приложение № 1 </w:t>
      </w:r>
      <w:r w:rsidR="00780D61">
        <w:t>к Документации конкурентных переговоров</w:t>
      </w:r>
    </w:p>
    <w:p w:rsidR="00AC69D7" w:rsidRDefault="00AC69D7" w:rsidP="000A3473">
      <w:pPr>
        <w:pStyle w:val="1"/>
        <w:numPr>
          <w:ilvl w:val="0"/>
          <w:numId w:val="0"/>
        </w:numPr>
        <w:spacing w:before="0" w:after="0"/>
        <w:ind w:left="568"/>
        <w:jc w:val="right"/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8599"/>
        <w:gridCol w:w="488"/>
        <w:gridCol w:w="268"/>
      </w:tblGrid>
      <w:tr w:rsidR="00AC69D7">
        <w:trPr>
          <w:trHeight w:val="653"/>
          <w:jc w:val="right"/>
        </w:trPr>
        <w:tc>
          <w:tcPr>
            <w:tcW w:w="9355" w:type="dxa"/>
            <w:gridSpan w:val="3"/>
            <w:vAlign w:val="center"/>
          </w:tcPr>
          <w:p w:rsidR="00AC69D7" w:rsidRDefault="00171CDD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ТЕХНИЧЕСКОЕ ЗАДАНИЕ </w:t>
            </w:r>
          </w:p>
          <w:p w:rsidR="00AC69D7" w:rsidRDefault="00171CDD" w:rsidP="00065B13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 xml:space="preserve">для ДОГОВОРА на поставку </w:t>
            </w:r>
            <w:r>
              <w:rPr>
                <w:b/>
                <w:caps/>
                <w:color w:val="000000" w:themeColor="text1"/>
              </w:rPr>
              <w:t>Систем</w:t>
            </w:r>
            <w:r w:rsidR="00065B13">
              <w:rPr>
                <w:b/>
                <w:caps/>
                <w:color w:val="000000" w:themeColor="text1"/>
              </w:rPr>
              <w:t>ы</w:t>
            </w:r>
            <w:r>
              <w:rPr>
                <w:b/>
                <w:caps/>
                <w:color w:val="000000" w:themeColor="text1"/>
              </w:rPr>
              <w:t xml:space="preserve"> хранения данных сервера</w:t>
            </w:r>
            <w:r w:rsidR="00065B13">
              <w:rPr>
                <w:b/>
                <w:caps/>
                <w:color w:val="000000" w:themeColor="text1"/>
              </w:rPr>
              <w:t xml:space="preserve"> резервного копирования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vAlign w:val="center"/>
          </w:tcPr>
          <w:p w:rsidR="00AC69D7" w:rsidRDefault="00AC69D7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shd w:val="clear" w:color="auto" w:fill="BFBFBF"/>
          </w:tcPr>
          <w:p w:rsidR="00AC69D7" w:rsidRDefault="00171CDD">
            <w:pPr>
              <w:pStyle w:val="1"/>
              <w:numPr>
                <w:ilvl w:val="0"/>
                <w:numId w:val="14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lang w:val="ru-RU" w:eastAsia="ru-RU"/>
              </w:rPr>
              <w:t>Требования к предмету Закупки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bottom w:val="single" w:sz="4" w:space="0" w:color="000000"/>
            </w:tcBorders>
          </w:tcPr>
          <w:p w:rsidR="00AC69D7" w:rsidRDefault="00AC69D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1"/>
                <w:numId w:val="15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color w:val="000000" w:themeColor="text1"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Поставщик осуществляет поставку </w:t>
            </w:r>
            <w:r w:rsidR="00065B13">
              <w:rPr>
                <w:b w:val="0"/>
                <w:bCs/>
                <w:lang w:val="ru-RU"/>
              </w:rPr>
              <w:t xml:space="preserve">системы хранения данных для </w:t>
            </w:r>
            <w:bookmarkStart w:id="0" w:name="_GoBack"/>
            <w:r w:rsidR="00065B13">
              <w:rPr>
                <w:b w:val="0"/>
                <w:bCs/>
                <w:lang w:val="ru-RU"/>
              </w:rPr>
              <w:t>сервера резервного копирования</w:t>
            </w:r>
            <w:bookmarkEnd w:id="0"/>
            <w:r>
              <w:rPr>
                <w:b w:val="0"/>
                <w:lang w:val="ru-RU"/>
              </w:rPr>
              <w:t xml:space="preserve">, предоставляет доступ к </w:t>
            </w:r>
            <w:r>
              <w:rPr>
                <w:b w:val="0"/>
              </w:rPr>
              <w:t>расширенной технической поддержке</w:t>
            </w:r>
            <w:r>
              <w:rPr>
                <w:b w:val="0"/>
                <w:lang w:val="ru-RU"/>
              </w:rPr>
              <w:t xml:space="preserve"> решения</w:t>
            </w:r>
            <w:r>
              <w:rPr>
                <w:b w:val="0"/>
              </w:rPr>
              <w:t>, в соответствии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 с п. 1.2 и 1.6. данного Технического задания. </w:t>
            </w:r>
          </w:p>
          <w:p w:rsidR="00AC69D7" w:rsidRDefault="00171CDD" w:rsidP="000A3473">
            <w:pPr>
              <w:ind w:firstLine="0"/>
            </w:pPr>
            <w:r>
              <w:t>Гарантийный срок на поставляемое оборудование должен составлять не менее 3 лет.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69D7" w:rsidRDefault="00AC69D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1"/>
                <w:numId w:val="16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Требования к техническим характеристикам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D7" w:rsidRDefault="00171CDD">
            <w:pPr>
              <w:ind w:firstLine="0"/>
            </w:pPr>
            <w:r>
              <w:t>Приведены в Приложении № 1 к Техническому заданию.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69D7" w:rsidRDefault="00AC69D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1"/>
                <w:numId w:val="17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Требования к размерам (заполняется для товаров)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1"/>
                <w:numId w:val="18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Требования к упаковке (заполняется для товаров)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Стандартная упаковка производителя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1"/>
                <w:numId w:val="19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 xml:space="preserve">Требования к отгрузке (заполняется для товаров) 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D7" w:rsidRDefault="00171CDD">
            <w:pPr>
              <w:widowControl/>
              <w:ind w:firstLine="0"/>
              <w:outlineLvl w:val="0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69D7" w:rsidRDefault="00AC69D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1"/>
                <w:numId w:val="20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 xml:space="preserve">Количество товара, объем работ, услуг </w:t>
            </w:r>
          </w:p>
        </w:tc>
      </w:tr>
      <w:tr w:rsidR="00AC69D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D7" w:rsidRDefault="00171CDD">
            <w:pPr>
              <w:ind w:firstLine="0"/>
              <w:rPr>
                <w:bCs/>
              </w:rPr>
            </w:pPr>
            <w:r>
              <w:t>Приведено в приложении №1 к настоящему техническому заданию</w:t>
            </w:r>
          </w:p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shd w:val="clear" w:color="auto" w:fill="FFFFFF"/>
          </w:tcPr>
          <w:p w:rsidR="00AC69D7" w:rsidRDefault="00AC69D7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shd w:val="clear" w:color="auto" w:fill="D9D9D9"/>
          </w:tcPr>
          <w:p w:rsidR="00AC69D7" w:rsidRDefault="00171CDD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tcBorders>
              <w:bottom w:val="single" w:sz="4" w:space="0" w:color="000000"/>
            </w:tcBorders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1"/>
                <w:numId w:val="21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Поставка оборудования</w:t>
            </w:r>
            <w:r w:rsidR="009402E0" w:rsidRPr="000A3473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9402E0">
              <w:rPr>
                <w:rFonts w:cs="Arial"/>
                <w:b w:val="0"/>
                <w:bCs/>
                <w:lang w:val="ru-RU" w:eastAsia="ru-RU"/>
              </w:rPr>
              <w:t>осуществляется силами поставщика и включена в стоимость. Адрес поставки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: 196140, г. </w:t>
            </w:r>
            <w:r>
              <w:rPr>
                <w:b w:val="0"/>
                <w:bCs/>
              </w:rPr>
              <w:t>Санкт-Петербург, Пулковское ш., д. 41, лит. ЗА, пом. 1.151</w:t>
            </w:r>
          </w:p>
          <w:p w:rsidR="00C04CFF" w:rsidRPr="000A3473" w:rsidRDefault="00C04CFF" w:rsidP="008347F1">
            <w:pPr>
              <w:pStyle w:val="2"/>
              <w:numPr>
                <w:ilvl w:val="0"/>
                <w:numId w:val="0"/>
              </w:numPr>
              <w:spacing w:before="0" w:after="0"/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Склад </w:t>
            </w:r>
            <w:r w:rsidR="008347F1">
              <w:rPr>
                <w:rFonts w:cs="Arial"/>
                <w:b w:val="0"/>
                <w:bCs/>
                <w:lang w:val="ru-RU" w:eastAsia="ru-RU"/>
              </w:rPr>
              <w:t>ОМТС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 8-921-636-49-39</w:t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1"/>
                <w:numId w:val="2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Сроки (периоды, стадии) поставки товара, выполнения работ, оказания услуг</w:t>
            </w:r>
          </w:p>
          <w:p w:rsidR="00AC69D7" w:rsidRDefault="008347F1" w:rsidP="009A3F00">
            <w:pPr>
              <w:ind w:firstLine="0"/>
            </w:pPr>
            <w:r>
              <w:rPr>
                <w:color w:val="000000" w:themeColor="text1"/>
              </w:rPr>
              <w:t>Н</w:t>
            </w:r>
            <w:r w:rsidR="008E6FF4">
              <w:rPr>
                <w:color w:val="000000" w:themeColor="text1"/>
              </w:rPr>
              <w:t>е более 14 недель</w:t>
            </w:r>
            <w:r w:rsidR="00171CDD">
              <w:t xml:space="preserve"> с </w:t>
            </w:r>
            <w:r w:rsidR="009A3F00">
              <w:t>даты</w:t>
            </w:r>
            <w:r w:rsidR="00171CDD">
              <w:t xml:space="preserve"> подписания договора.</w:t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9D7" w:rsidRDefault="00171CDD">
            <w:pPr>
              <w:pStyle w:val="2"/>
              <w:numPr>
                <w:ilvl w:val="1"/>
                <w:numId w:val="23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Иные условия поставки товара, выполнения работ, оказания услуг</w:t>
            </w:r>
          </w:p>
          <w:p w:rsidR="00AC69D7" w:rsidRDefault="00171CDD">
            <w:pPr>
              <w:ind w:firstLine="0"/>
            </w:pPr>
            <w:r>
              <w:t xml:space="preserve">Предоставить сопутствующую документацию: </w:t>
            </w:r>
          </w:p>
          <w:p w:rsidR="00AC69D7" w:rsidRDefault="00171CDD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- Паспорт (технический)</w:t>
            </w:r>
          </w:p>
          <w:p w:rsidR="00AC69D7" w:rsidRDefault="00171C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Сертификат</w:t>
            </w:r>
          </w:p>
          <w:p w:rsidR="00AC69D7" w:rsidRDefault="009A3F0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Руководство по эксплуатации.</w:t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</w:tcBorders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0"/>
          <w:jc w:val="right"/>
        </w:trPr>
        <w:tc>
          <w:tcPr>
            <w:tcW w:w="9087" w:type="dxa"/>
            <w:gridSpan w:val="2"/>
            <w:shd w:val="clear" w:color="auto" w:fill="D9D9D9"/>
          </w:tcPr>
          <w:p w:rsidR="00AC69D7" w:rsidRDefault="00171CDD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9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171CDD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171CD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какие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88" w:type="dxa"/>
            <w:shd w:val="clear" w:color="auto" w:fill="auto"/>
          </w:tcPr>
          <w:p w:rsidR="00AC69D7" w:rsidRDefault="00171CDD">
            <w:pPr>
              <w:ind w:firstLine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7F1">
              <w:fldChar w:fldCharType="separate"/>
            </w:r>
            <w:bookmarkStart w:id="1" w:name="Флажок1_Копия_1"/>
            <w:r>
              <w:fldChar w:fldCharType="end"/>
            </w:r>
            <w:bookmarkEnd w:id="1"/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171CD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lastRenderedPageBreak/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488" w:type="dxa"/>
            <w:shd w:val="clear" w:color="auto" w:fill="auto"/>
          </w:tcPr>
          <w:p w:rsidR="00AC69D7" w:rsidRDefault="00171CDD">
            <w:pPr>
              <w:ind w:firstLine="0"/>
            </w:pPr>
            <w:r>
              <w:fldChar w:fldCharType="begin">
                <w:ffData>
                  <w:name w:val="Флажок1 Копия 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7F1">
              <w:fldChar w:fldCharType="separate"/>
            </w:r>
            <w:bookmarkStart w:id="2" w:name="Флажок1_Копия_2"/>
            <w:bookmarkEnd w:id="2"/>
            <w:r>
              <w:fldChar w:fldCharType="end"/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171CD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какие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88" w:type="dxa"/>
            <w:shd w:val="clear" w:color="auto" w:fill="auto"/>
          </w:tcPr>
          <w:p w:rsidR="00AC69D7" w:rsidRDefault="00171CDD">
            <w:pPr>
              <w:ind w:firstLine="0"/>
            </w:pPr>
            <w:r>
              <w:fldChar w:fldCharType="begin">
                <w:ffData>
                  <w:name w:val="Флажок1 Копия 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7F1">
              <w:fldChar w:fldCharType="separate"/>
            </w:r>
            <w:bookmarkStart w:id="3" w:name="Флажок1_Копия_3"/>
            <w:bookmarkEnd w:id="3"/>
            <w:r>
              <w:fldChar w:fldCharType="end"/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Pr="009A3F00" w:rsidRDefault="00171CDD" w:rsidP="00753E56">
            <w:pPr>
              <w:pStyle w:val="2"/>
              <w:numPr>
                <w:ilvl w:val="2"/>
                <w:numId w:val="1"/>
              </w:numPr>
              <w:spacing w:before="0" w:after="0"/>
              <w:ind w:left="0" w:firstLine="34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9A3F00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="009A3F00">
              <w:rPr>
                <w:rFonts w:cs="Arial"/>
                <w:b w:val="0"/>
                <w:bCs/>
                <w:lang w:val="ru-RU" w:eastAsia="ru-RU"/>
              </w:rPr>
              <w:t xml:space="preserve">: </w:t>
            </w:r>
            <w:r w:rsidR="009A3F00" w:rsidRPr="009A3F00">
              <w:rPr>
                <w:rFonts w:cs="Arial"/>
                <w:b w:val="0"/>
                <w:bCs/>
                <w:lang w:val="ru-RU" w:eastAsia="ru-RU"/>
              </w:rPr>
              <w:t>наличие партнёрского сертификата производителя оборудования, предлагаемого к поставке (действительный на февраль 2022 года)</w:t>
            </w:r>
            <w:r w:rsidRPr="009A3F00">
              <w:rPr>
                <w:rFonts w:cs="Arial"/>
                <w:b w:val="0"/>
                <w:bCs/>
                <w:lang w:val="ru-RU" w:eastAsia="ru-RU"/>
              </w:rPr>
              <w:t xml:space="preserve">; </w:t>
            </w:r>
          </w:p>
        </w:tc>
        <w:tc>
          <w:tcPr>
            <w:tcW w:w="488" w:type="dxa"/>
            <w:shd w:val="clear" w:color="auto" w:fill="auto"/>
          </w:tcPr>
          <w:p w:rsidR="00AC69D7" w:rsidRDefault="009A3F00">
            <w:pPr>
              <w:ind w:firstLine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347F1">
              <w:fldChar w:fldCharType="separate"/>
            </w:r>
            <w:r>
              <w:fldChar w:fldCharType="end"/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171CD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>
              <w:rPr>
                <w:rFonts w:cs="Arial"/>
                <w:b w:val="0"/>
                <w:bCs/>
                <w:lang w:val="en-US" w:eastAsia="ru-RU"/>
              </w:rPr>
              <w:t>[</w:t>
            </w:r>
            <w:r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какой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88" w:type="dxa"/>
            <w:shd w:val="clear" w:color="auto" w:fill="auto"/>
          </w:tcPr>
          <w:p w:rsidR="00AC69D7" w:rsidRDefault="00171CDD">
            <w:pPr>
              <w:ind w:firstLine="0"/>
            </w:pPr>
            <w:r>
              <w:fldChar w:fldCharType="begin">
                <w:ffData>
                  <w:name w:val="Флажок1 Копия 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7F1">
              <w:fldChar w:fldCharType="separate"/>
            </w:r>
            <w:bookmarkStart w:id="4" w:name="Флажок1_Копия_5"/>
            <w:bookmarkEnd w:id="4"/>
            <w:r>
              <w:fldChar w:fldCharType="end"/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Pr="009A3F00" w:rsidRDefault="00171CDD" w:rsidP="008E6FF4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6824F7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6824F7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6824F7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6824F7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6824F7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6824F7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88" w:type="dxa"/>
            <w:shd w:val="clear" w:color="auto" w:fill="auto"/>
          </w:tcPr>
          <w:p w:rsidR="00AC69D7" w:rsidRDefault="00171CDD">
            <w:pPr>
              <w:ind w:firstLine="0"/>
            </w:pPr>
            <w:r>
              <w:fldChar w:fldCharType="begin">
                <w:ffData>
                  <w:name w:val="Bookmar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7F1">
              <w:fldChar w:fldCharType="separate"/>
            </w:r>
            <w:bookmarkStart w:id="5" w:name="Bookmark"/>
            <w:bookmarkEnd w:id="5"/>
            <w:r>
              <w:fldChar w:fldCharType="end"/>
            </w:r>
          </w:p>
        </w:tc>
        <w:tc>
          <w:tcPr>
            <w:tcW w:w="268" w:type="dxa"/>
          </w:tcPr>
          <w:p w:rsidR="00AC69D7" w:rsidRDefault="00AC69D7"/>
        </w:tc>
      </w:tr>
      <w:tr w:rsidR="009A3F00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9A3F00" w:rsidRPr="006824F7" w:rsidRDefault="009A3F00" w:rsidP="009A3F00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9A3F00" w:rsidRDefault="009A3F00">
            <w:pPr>
              <w:ind w:firstLine="0"/>
            </w:pPr>
          </w:p>
        </w:tc>
        <w:tc>
          <w:tcPr>
            <w:tcW w:w="268" w:type="dxa"/>
          </w:tcPr>
          <w:p w:rsidR="009A3F00" w:rsidRDefault="009A3F00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Pr="002B0696" w:rsidRDefault="002B0696" w:rsidP="002B0696">
            <w:pPr>
              <w:pStyle w:val="2"/>
              <w:numPr>
                <w:ilvl w:val="2"/>
                <w:numId w:val="1"/>
              </w:numPr>
              <w:spacing w:before="0" w:after="0"/>
              <w:ind w:hanging="470"/>
              <w:rPr>
                <w:rFonts w:cs="Arial"/>
                <w:b w:val="0"/>
                <w:bCs/>
                <w:lang w:val="ru-RU" w:eastAsia="ru-RU"/>
              </w:rPr>
            </w:pPr>
            <w:r w:rsidRPr="002B0696">
              <w:rPr>
                <w:rFonts w:cs="Arial"/>
                <w:bCs/>
                <w:lang w:val="ru-RU" w:eastAsia="ru-RU"/>
              </w:rPr>
              <w:t xml:space="preserve">иные: 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подтверждение срока поставки. Предоставить не менее 3 (трех) официальных писем от партнеров о соблюдении участником закупки срока поставки релевантного оборудования. </w:t>
            </w:r>
          </w:p>
        </w:tc>
        <w:tc>
          <w:tcPr>
            <w:tcW w:w="488" w:type="dxa"/>
            <w:shd w:val="clear" w:color="auto" w:fill="auto"/>
          </w:tcPr>
          <w:p w:rsidR="00AC69D7" w:rsidRDefault="002B0696">
            <w:pPr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347F1">
              <w:fldChar w:fldCharType="separate"/>
            </w:r>
            <w:r>
              <w:fldChar w:fldCharType="end"/>
            </w:r>
          </w:p>
        </w:tc>
        <w:tc>
          <w:tcPr>
            <w:tcW w:w="268" w:type="dxa"/>
          </w:tcPr>
          <w:p w:rsidR="00AC69D7" w:rsidRDefault="00AC69D7"/>
        </w:tc>
      </w:tr>
      <w:tr w:rsidR="002B0696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2B0696" w:rsidRDefault="002B0696" w:rsidP="002B0696">
            <w:pPr>
              <w:pStyle w:val="2"/>
              <w:numPr>
                <w:ilvl w:val="2"/>
                <w:numId w:val="1"/>
              </w:numPr>
              <w:spacing w:before="0" w:after="0"/>
              <w:ind w:hanging="470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Подтверждение соответствия предложения техническим характеристикам по ТЗ. Предоставить файл с подробным технико-коммерческим предложением.</w:t>
            </w:r>
          </w:p>
        </w:tc>
        <w:tc>
          <w:tcPr>
            <w:tcW w:w="488" w:type="dxa"/>
            <w:shd w:val="clear" w:color="auto" w:fill="auto"/>
          </w:tcPr>
          <w:p w:rsidR="002B0696" w:rsidRDefault="002B0696">
            <w:pPr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347F1">
              <w:fldChar w:fldCharType="separate"/>
            </w:r>
            <w:r>
              <w:fldChar w:fldCharType="end"/>
            </w:r>
          </w:p>
        </w:tc>
        <w:tc>
          <w:tcPr>
            <w:tcW w:w="268" w:type="dxa"/>
          </w:tcPr>
          <w:p w:rsidR="002B0696" w:rsidRDefault="002B0696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  <w:jc w:val="left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171CDD">
            <w:pPr>
              <w:pStyle w:val="2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  <w:jc w:val="left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ind w:firstLine="0"/>
              <w:jc w:val="left"/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  <w:jc w:val="left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753E56" w:rsidP="008347F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требования к персоналу: наличие технического персонала для предоставления гарантийных обязательств включая, но не ограничиваясь: </w:t>
            </w:r>
            <w:r w:rsidRPr="00753E56">
              <w:rPr>
                <w:rFonts w:cs="Arial"/>
                <w:b w:val="0"/>
                <w:bCs/>
                <w:lang w:val="ru-RU" w:eastAsia="ru-RU"/>
              </w:rPr>
              <w:t>технических экспертов, сервис-менеджера, круглосуточной службы технической поддержки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. </w:t>
            </w:r>
            <w:r w:rsidRPr="00753E56">
              <w:rPr>
                <w:rFonts w:cs="Arial"/>
                <w:b w:val="0"/>
                <w:bCs/>
                <w:lang w:val="ru-RU" w:eastAsia="ru-RU"/>
              </w:rPr>
              <w:t>Подтверждается письмом с указанием состава специалистов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 и </w:t>
            </w:r>
            <w:r w:rsidRPr="00753E56">
              <w:rPr>
                <w:rFonts w:cs="Arial"/>
                <w:b w:val="0"/>
                <w:bCs/>
                <w:lang w:val="ru-RU" w:eastAsia="ru-RU"/>
              </w:rPr>
              <w:t>техническими сертификатами производителя оборудования для специалистов (не менее двух).</w:t>
            </w:r>
          </w:p>
        </w:tc>
        <w:tc>
          <w:tcPr>
            <w:tcW w:w="488" w:type="dxa"/>
            <w:shd w:val="clear" w:color="auto" w:fill="auto"/>
          </w:tcPr>
          <w:p w:rsidR="00AC69D7" w:rsidRDefault="00753E56">
            <w:pPr>
              <w:ind w:firstLine="0"/>
              <w:jc w:val="left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Флажок1"/>
            <w:r>
              <w:instrText xml:space="preserve"> FORMCHECKBOX </w:instrText>
            </w:r>
            <w:r w:rsidR="008347F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  <w:jc w:val="left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171CD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jc w:val="left"/>
              <w:rPr>
                <w:rFonts w:cs="Arial"/>
                <w:b w:val="0"/>
                <w:bCs/>
                <w:lang w:val="en-US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>
              <w:rPr>
                <w:rFonts w:cs="Arial"/>
                <w:b w:val="0"/>
                <w:bCs/>
                <w:lang w:val="en-US" w:eastAsia="ru-RU"/>
              </w:rPr>
              <w:t>[</w:t>
            </w:r>
            <w:r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какие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88" w:type="dxa"/>
            <w:shd w:val="clear" w:color="auto" w:fill="auto"/>
          </w:tcPr>
          <w:p w:rsidR="00AC69D7" w:rsidRDefault="00171CDD">
            <w:pPr>
              <w:ind w:firstLine="0"/>
              <w:jc w:val="left"/>
            </w:pPr>
            <w:r>
              <w:fldChar w:fldCharType="begin">
                <w:ffData>
                  <w:name w:val="Флажок1 Копия 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7F1">
              <w:fldChar w:fldCharType="separate"/>
            </w:r>
            <w:bookmarkStart w:id="7" w:name="Флажок1_Копия_7"/>
            <w:bookmarkEnd w:id="7"/>
            <w:r>
              <w:fldChar w:fldCharType="end"/>
            </w: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:rsidR="00AC69D7" w:rsidRDefault="00AC69D7">
            <w:pPr>
              <w:ind w:firstLine="0"/>
              <w:jc w:val="left"/>
            </w:pPr>
          </w:p>
        </w:tc>
        <w:tc>
          <w:tcPr>
            <w:tcW w:w="268" w:type="dxa"/>
          </w:tcPr>
          <w:p w:rsidR="00AC69D7" w:rsidRDefault="00AC69D7"/>
        </w:tc>
      </w:tr>
      <w:tr w:rsidR="00AC69D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:rsidR="00AC69D7" w:rsidRPr="002B0696" w:rsidRDefault="002B0696" w:rsidP="008347F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b w:val="0"/>
              </w:rPr>
            </w:pPr>
            <w:r w:rsidRPr="002B0696">
              <w:rPr>
                <w:lang w:val="ru-RU"/>
              </w:rPr>
              <w:t>иное:</w:t>
            </w:r>
            <w:r w:rsidRPr="002B0696">
              <w:rPr>
                <w:b w:val="0"/>
                <w:lang w:val="ru-RU"/>
              </w:rPr>
              <w:t xml:space="preserve"> срок поставки оборудования, указанный в технико-коммерческом предложении равен или не превышает 14 недель с даты заключения договора. </w:t>
            </w:r>
          </w:p>
        </w:tc>
        <w:tc>
          <w:tcPr>
            <w:tcW w:w="488" w:type="dxa"/>
            <w:shd w:val="clear" w:color="auto" w:fill="auto"/>
          </w:tcPr>
          <w:p w:rsidR="00AC69D7" w:rsidRDefault="002B0696" w:rsidP="008347F1">
            <w:pPr>
              <w:ind w:firstLine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347F1">
              <w:fldChar w:fldCharType="separate"/>
            </w:r>
            <w:r>
              <w:fldChar w:fldCharType="end"/>
            </w:r>
          </w:p>
        </w:tc>
        <w:tc>
          <w:tcPr>
            <w:tcW w:w="268" w:type="dxa"/>
          </w:tcPr>
          <w:p w:rsidR="00AC69D7" w:rsidRDefault="00AC69D7"/>
        </w:tc>
      </w:tr>
    </w:tbl>
    <w:p w:rsidR="00AC69D7" w:rsidRDefault="00171C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A3473" w:rsidRDefault="000A3473">
      <w:pPr>
        <w:pStyle w:val="a4"/>
        <w:rPr>
          <w:rFonts w:ascii="Times New Roman" w:hAnsi="Times New Roman" w:cs="Times New Roman"/>
          <w:sz w:val="24"/>
          <w:szCs w:val="24"/>
        </w:rPr>
        <w:sectPr w:rsidR="000A3473">
          <w:pgSz w:w="11906" w:h="16838"/>
          <w:pgMar w:top="851" w:right="850" w:bottom="851" w:left="1701" w:header="0" w:footer="0" w:gutter="0"/>
          <w:cols w:space="720"/>
          <w:formProt w:val="0"/>
          <w:docGrid w:linePitch="360"/>
        </w:sectPr>
      </w:pPr>
    </w:p>
    <w:p w:rsidR="00AC69D7" w:rsidRDefault="00171CDD">
      <w:pPr>
        <w:jc w:val="righ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lastRenderedPageBreak/>
        <w:t>Приложение №1 к Техническому заданию</w:t>
      </w:r>
    </w:p>
    <w:p w:rsidR="00AC69D7" w:rsidRDefault="00171CDD">
      <w:pPr>
        <w:jc w:val="right"/>
        <w:rPr>
          <w:bCs/>
        </w:rPr>
      </w:pPr>
      <w:r>
        <w:t xml:space="preserve">Требования к </w:t>
      </w:r>
      <w:r>
        <w:rPr>
          <w:bCs/>
        </w:rPr>
        <w:t>техническим и функциональным характеристикам Оборудования:</w:t>
      </w:r>
    </w:p>
    <w:p w:rsidR="00AC69D7" w:rsidRDefault="00AC69D7">
      <w:pPr>
        <w:jc w:val="center"/>
      </w:pPr>
    </w:p>
    <w:tbl>
      <w:tblPr>
        <w:tblW w:w="93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54"/>
        <w:gridCol w:w="6702"/>
      </w:tblGrid>
      <w:tr w:rsidR="00AC69D7" w:rsidTr="008347F1">
        <w:trPr>
          <w:trHeight w:val="602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9D7" w:rsidRDefault="00171CDD" w:rsidP="008347F1">
            <w:pPr>
              <w:ind w:firstLine="0"/>
              <w:jc w:val="left"/>
              <w:rPr>
                <w:sz w:val="22"/>
                <w:szCs w:val="22"/>
              </w:rPr>
            </w:pPr>
            <w:r>
              <w:t>Наименование и характеристики Товара</w:t>
            </w:r>
          </w:p>
        </w:tc>
      </w:tr>
      <w:tr w:rsidR="00AC69D7" w:rsidTr="008347F1">
        <w:trPr>
          <w:trHeight w:val="48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9D7" w:rsidRDefault="00065B13" w:rsidP="008347F1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t>Система хранения данных</w:t>
            </w:r>
          </w:p>
        </w:tc>
      </w:tr>
      <w:tr w:rsidR="00AC69D7" w:rsidTr="008347F1">
        <w:trPr>
          <w:trHeight w:val="46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9D7" w:rsidRDefault="00171CDD" w:rsidP="008347F1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t>Аппаратные требования на один СХД.</w:t>
            </w:r>
          </w:p>
        </w:tc>
      </w:tr>
      <w:tr w:rsidR="00CC5804" w:rsidTr="008347F1">
        <w:trPr>
          <w:trHeight w:val="792"/>
        </w:trPr>
        <w:tc>
          <w:tcPr>
            <w:tcW w:w="2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04" w:rsidRDefault="00CC5804" w:rsidP="008347F1">
            <w:pPr>
              <w:pStyle w:val="a6"/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  <w:r>
              <w:t>Оборудование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804" w:rsidRPr="009844E0" w:rsidRDefault="00CC5804" w:rsidP="008347F1">
            <w:pPr>
              <w:ind w:firstLine="0"/>
            </w:pPr>
            <w:r w:rsidRPr="009844E0">
              <w:t>Решение должно:</w:t>
            </w:r>
          </w:p>
          <w:p w:rsidR="00CC5804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>
              <w:t>умещаться в 2 юнита 19-дюймовой серверной стойки;</w:t>
            </w:r>
          </w:p>
          <w:p w:rsidR="00FF0E49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>
              <w:t>иметь 2 физических контроллера</w:t>
            </w:r>
            <w:r w:rsidR="00FF0E49">
              <w:t>:</w:t>
            </w:r>
          </w:p>
          <w:p w:rsidR="00FF0E49" w:rsidRDefault="00CC5804" w:rsidP="008347F1">
            <w:pPr>
              <w:pStyle w:val="a6"/>
              <w:numPr>
                <w:ilvl w:val="1"/>
                <w:numId w:val="29"/>
              </w:numPr>
              <w:ind w:left="0" w:firstLine="0"/>
            </w:pPr>
            <w:r>
              <w:t xml:space="preserve">с </w:t>
            </w:r>
            <w:proofErr w:type="spellStart"/>
            <w:r>
              <w:t>интерфесами</w:t>
            </w:r>
            <w:proofErr w:type="spellEnd"/>
            <w:r>
              <w:t xml:space="preserve"> </w:t>
            </w:r>
            <w:r>
              <w:rPr>
                <w:lang w:val="en-US"/>
              </w:rPr>
              <w:t>SAS</w:t>
            </w:r>
            <w:r w:rsidR="00FF0E49">
              <w:t>;</w:t>
            </w:r>
          </w:p>
          <w:p w:rsidR="00CC5804" w:rsidRDefault="00FF0E49" w:rsidP="008347F1">
            <w:pPr>
              <w:pStyle w:val="a6"/>
              <w:numPr>
                <w:ilvl w:val="1"/>
                <w:numId w:val="29"/>
              </w:numPr>
              <w:ind w:left="0" w:firstLine="0"/>
            </w:pPr>
            <w:r>
              <w:t xml:space="preserve">с ОЗУ не менее 8 </w:t>
            </w:r>
            <w:proofErr w:type="spellStart"/>
            <w:r>
              <w:rPr>
                <w:lang w:val="en-US"/>
              </w:rPr>
              <w:t>GiB</w:t>
            </w:r>
            <w:proofErr w:type="spellEnd"/>
            <w:r w:rsidRPr="00FF0E49">
              <w:t xml:space="preserve"> </w:t>
            </w:r>
            <w:r>
              <w:t>на каждом и батарейкой (</w:t>
            </w:r>
            <w:proofErr w:type="spellStart"/>
            <w:r w:rsidRPr="00FF0E49">
              <w:t>Battery</w:t>
            </w:r>
            <w:proofErr w:type="spellEnd"/>
            <w:r w:rsidRPr="00FF0E49">
              <w:t xml:space="preserve"> </w:t>
            </w:r>
            <w:proofErr w:type="spellStart"/>
            <w:r w:rsidRPr="00FF0E49">
              <w:t>Back-Up</w:t>
            </w:r>
            <w:proofErr w:type="spellEnd"/>
            <w:r w:rsidRPr="00FF0E49">
              <w:t xml:space="preserve"> </w:t>
            </w:r>
            <w:proofErr w:type="spellStart"/>
            <w:r w:rsidRPr="00FF0E49">
              <w:t>Unit</w:t>
            </w:r>
            <w:proofErr w:type="spellEnd"/>
            <w:r>
              <w:t>)</w:t>
            </w:r>
            <w:r w:rsidR="00CC5804">
              <w:t>;</w:t>
            </w:r>
          </w:p>
          <w:p w:rsidR="00CC5804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>
              <w:t xml:space="preserve">поставляться с </w:t>
            </w:r>
            <w:r w:rsidRPr="009844E0">
              <w:t xml:space="preserve">собственными внутренними </w:t>
            </w:r>
            <w:r>
              <w:t>12 дисками</w:t>
            </w:r>
            <w:r w:rsidRPr="009844E0">
              <w:t xml:space="preserve"> по 20 TiB (20*2</w:t>
            </w:r>
            <w:r w:rsidRPr="00753584">
              <w:rPr>
                <w:vertAlign w:val="superscript"/>
              </w:rPr>
              <w:t>40</w:t>
            </w:r>
            <w:r w:rsidRPr="009844E0">
              <w:t xml:space="preserve"> байтов) и более</w:t>
            </w:r>
            <w:r>
              <w:t>;</w:t>
            </w:r>
          </w:p>
          <w:p w:rsidR="00CC5804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>
              <w:t>иметь возможность</w:t>
            </w:r>
            <w:r w:rsidRPr="009844E0">
              <w:t xml:space="preserve"> добавления дисковой емкости через полку расширения</w:t>
            </w:r>
            <w:r>
              <w:t xml:space="preserve"> по протоколу </w:t>
            </w:r>
            <w:r>
              <w:rPr>
                <w:lang w:val="en-US"/>
              </w:rPr>
              <w:t>SAS</w:t>
            </w:r>
            <w:r>
              <w:t>.</w:t>
            </w:r>
          </w:p>
        </w:tc>
      </w:tr>
      <w:tr w:rsidR="00CC5804" w:rsidTr="008347F1">
        <w:trPr>
          <w:trHeight w:val="699"/>
        </w:trPr>
        <w:tc>
          <w:tcPr>
            <w:tcW w:w="2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04" w:rsidRDefault="00CC5804" w:rsidP="008347F1">
            <w:pPr>
              <w:widowControl/>
              <w:numPr>
                <w:ilvl w:val="1"/>
                <w:numId w:val="9"/>
              </w:numPr>
              <w:ind w:left="0" w:firstLine="0"/>
              <w:contextualSpacing/>
              <w:jc w:val="left"/>
              <w:rPr>
                <w:rFonts w:eastAsia="Calibri"/>
                <w:bCs/>
                <w:iCs/>
                <w:sz w:val="22"/>
                <w:szCs w:val="22"/>
              </w:rPr>
            </w:pPr>
            <w:r>
              <w:t>Порты и система ввода-вывода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804" w:rsidRPr="009844E0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 w:rsidRPr="009844E0">
              <w:t>не менее 2</w:t>
            </w:r>
            <w:r w:rsidRPr="00D318EB">
              <w:t xml:space="preserve"> портов </w:t>
            </w:r>
            <w:r w:rsidRPr="009844E0">
              <w:rPr>
                <w:lang w:val="en-US"/>
              </w:rPr>
              <w:t>SAS</w:t>
            </w:r>
            <w:r>
              <w:t xml:space="preserve"> 12 </w:t>
            </w:r>
            <w:proofErr w:type="spellStart"/>
            <w:r w:rsidRPr="009844E0">
              <w:rPr>
                <w:lang w:val="en-US"/>
              </w:rPr>
              <w:t>Gbps</w:t>
            </w:r>
            <w:proofErr w:type="spellEnd"/>
            <w:r w:rsidRPr="009844E0">
              <w:t xml:space="preserve"> на контроллер </w:t>
            </w:r>
            <w:r>
              <w:t>— для передачи данных</w:t>
            </w:r>
            <w:r w:rsidRPr="009844E0">
              <w:t>;</w:t>
            </w:r>
          </w:p>
          <w:p w:rsidR="00CC5804" w:rsidRPr="009844E0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 w:rsidRPr="009844E0">
              <w:t>н</w:t>
            </w:r>
            <w:r>
              <w:t>е менее 1</w:t>
            </w:r>
            <w:r w:rsidRPr="00D318EB">
              <w:t xml:space="preserve"> порта </w:t>
            </w:r>
            <w:r w:rsidRPr="009844E0">
              <w:t>1</w:t>
            </w:r>
            <w:r w:rsidRPr="009844E0">
              <w:rPr>
                <w:lang w:val="en-SG"/>
              </w:rPr>
              <w:t>G</w:t>
            </w:r>
            <w:r w:rsidRPr="009844E0">
              <w:t xml:space="preserve"> </w:t>
            </w:r>
            <w:r w:rsidRPr="009844E0">
              <w:rPr>
                <w:lang w:val="en-SG"/>
              </w:rPr>
              <w:t>Ethernet</w:t>
            </w:r>
            <w:r w:rsidRPr="009844E0">
              <w:t xml:space="preserve"> на один контроллер</w:t>
            </w:r>
            <w:r>
              <w:t xml:space="preserve"> (с установленными модулями, если </w:t>
            </w:r>
            <w:r>
              <w:rPr>
                <w:lang w:val="en-US"/>
              </w:rPr>
              <w:t>SFP</w:t>
            </w:r>
            <w:r>
              <w:t>) — для менеджмента.</w:t>
            </w:r>
          </w:p>
        </w:tc>
      </w:tr>
      <w:tr w:rsidR="00CC5804" w:rsidTr="008347F1">
        <w:trPr>
          <w:trHeight w:val="1764"/>
        </w:trPr>
        <w:tc>
          <w:tcPr>
            <w:tcW w:w="2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04" w:rsidRDefault="00CC5804" w:rsidP="008347F1">
            <w:pPr>
              <w:widowControl/>
              <w:numPr>
                <w:ilvl w:val="1"/>
                <w:numId w:val="9"/>
              </w:numPr>
              <w:ind w:left="0" w:firstLine="0"/>
              <w:contextualSpacing/>
              <w:jc w:val="left"/>
            </w:pPr>
            <w:r>
              <w:t>Функционал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804" w:rsidRPr="00D318EB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>
              <w:t xml:space="preserve">возможность подключения </w:t>
            </w:r>
            <w:r w:rsidRPr="00D318EB">
              <w:t>7.2</w:t>
            </w:r>
            <w:r w:rsidRPr="00D318EB">
              <w:rPr>
                <w:lang w:val="en-US"/>
              </w:rPr>
              <w:t>K</w:t>
            </w:r>
            <w:r w:rsidRPr="00D318EB">
              <w:t xml:space="preserve"> </w:t>
            </w:r>
            <w:r w:rsidRPr="00D318EB">
              <w:rPr>
                <w:lang w:val="en-US"/>
              </w:rPr>
              <w:t>rpm</w:t>
            </w:r>
            <w:r w:rsidRPr="00D318EB">
              <w:t xml:space="preserve"> </w:t>
            </w:r>
            <w:r w:rsidRPr="00D318EB">
              <w:rPr>
                <w:lang w:val="en-US"/>
              </w:rPr>
              <w:t>NL</w:t>
            </w:r>
            <w:r w:rsidRPr="00D318EB">
              <w:t xml:space="preserve"> </w:t>
            </w:r>
            <w:r w:rsidRPr="00D318EB">
              <w:rPr>
                <w:lang w:val="en-US"/>
              </w:rPr>
              <w:t>SAS</w:t>
            </w:r>
            <w:r w:rsidRPr="00D318EB">
              <w:t xml:space="preserve"> </w:t>
            </w:r>
            <w:r w:rsidRPr="00D318EB">
              <w:rPr>
                <w:lang w:val="en-US"/>
              </w:rPr>
              <w:t>HDDs</w:t>
            </w:r>
            <w:r w:rsidRPr="00D318EB">
              <w:t xml:space="preserve"> </w:t>
            </w:r>
            <w:r>
              <w:t>и</w:t>
            </w:r>
            <w:r w:rsidRPr="00D318EB">
              <w:t xml:space="preserve"> </w:t>
            </w:r>
            <w:r w:rsidRPr="00D318EB">
              <w:rPr>
                <w:lang w:val="en-US"/>
              </w:rPr>
              <w:t>SAS</w:t>
            </w:r>
            <w:r w:rsidRPr="00D318EB">
              <w:t xml:space="preserve"> </w:t>
            </w:r>
            <w:r w:rsidRPr="00D318EB">
              <w:rPr>
                <w:lang w:val="en-US"/>
              </w:rPr>
              <w:t>SSDs</w:t>
            </w:r>
            <w:r>
              <w:t>;</w:t>
            </w:r>
          </w:p>
          <w:p w:rsidR="00CC5804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>
              <w:t>поддерживаемые RAID: 0, 1/10, 3, 5, 6;</w:t>
            </w:r>
          </w:p>
          <w:p w:rsidR="00CC5804" w:rsidRPr="006824F7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>
              <w:t>интерфейс/протокол</w:t>
            </w:r>
            <w:r w:rsidRPr="006824F7">
              <w:t xml:space="preserve"> доступа к данным </w:t>
            </w:r>
            <w:r w:rsidRPr="00BE6FA5">
              <w:t xml:space="preserve">— </w:t>
            </w:r>
            <w:r w:rsidRPr="009844E0">
              <w:rPr>
                <w:lang w:val="en-US"/>
              </w:rPr>
              <w:t>SAS</w:t>
            </w:r>
            <w:r>
              <w:t xml:space="preserve"> 12 </w:t>
            </w:r>
            <w:proofErr w:type="spellStart"/>
            <w:r w:rsidRPr="009844E0">
              <w:rPr>
                <w:lang w:val="en-US"/>
              </w:rPr>
              <w:t>Gbps</w:t>
            </w:r>
            <w:proofErr w:type="spellEnd"/>
            <w:r>
              <w:t>;</w:t>
            </w:r>
          </w:p>
          <w:p w:rsidR="00CC5804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>
              <w:t>мониторинг состояния дисковых носителей;</w:t>
            </w:r>
          </w:p>
          <w:p w:rsidR="00CC5804" w:rsidRPr="00BE6FA5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>
              <w:t>м</w:t>
            </w:r>
            <w:r w:rsidRPr="006824F7">
              <w:t>ониторинг производительност</w:t>
            </w:r>
            <w:r>
              <w:t>и</w:t>
            </w:r>
            <w:r w:rsidRPr="006824F7">
              <w:t xml:space="preserve"> как в р</w:t>
            </w:r>
            <w:r>
              <w:t>еальном времени так и за период.</w:t>
            </w:r>
          </w:p>
        </w:tc>
      </w:tr>
      <w:tr w:rsidR="00AC69D7" w:rsidTr="008347F1">
        <w:trPr>
          <w:trHeight w:val="42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9D7" w:rsidRDefault="00171CDD" w:rsidP="008347F1">
            <w:pPr>
              <w:pStyle w:val="a6"/>
              <w:numPr>
                <w:ilvl w:val="0"/>
                <w:numId w:val="11"/>
              </w:numPr>
              <w:ind w:left="0" w:firstLine="0"/>
            </w:pPr>
            <w:r>
              <w:t>Сетевое оборудование</w:t>
            </w:r>
          </w:p>
        </w:tc>
      </w:tr>
      <w:tr w:rsidR="00CC5804" w:rsidTr="008347F1">
        <w:trPr>
          <w:trHeight w:val="946"/>
        </w:trPr>
        <w:tc>
          <w:tcPr>
            <w:tcW w:w="2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04" w:rsidRDefault="00CC5804" w:rsidP="008347F1">
            <w:pPr>
              <w:ind w:firstLine="0"/>
            </w:pPr>
            <w:r>
              <w:t>2</w:t>
            </w:r>
            <w:r>
              <w:rPr>
                <w:lang w:val="en-US"/>
              </w:rPr>
              <w:t xml:space="preserve">.2 </w:t>
            </w:r>
            <w:r>
              <w:t>Трансиверы, кабели и патчкорды.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804" w:rsidRPr="009844E0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 w:rsidRPr="009844E0">
              <w:rPr>
                <w:color w:val="232323"/>
              </w:rPr>
              <w:t>включить патчкорды и кабели для соединения всей инфраструктуры;</w:t>
            </w:r>
          </w:p>
          <w:p w:rsidR="00CC5804" w:rsidRPr="009844E0" w:rsidRDefault="00CC5804" w:rsidP="008347F1">
            <w:pPr>
              <w:pStyle w:val="a6"/>
              <w:numPr>
                <w:ilvl w:val="0"/>
                <w:numId w:val="29"/>
              </w:numPr>
              <w:ind w:left="0" w:firstLine="0"/>
            </w:pPr>
            <w:r>
              <w:t>кабели электропитания тип С13-С14 или С19-С20.</w:t>
            </w:r>
          </w:p>
        </w:tc>
      </w:tr>
      <w:tr w:rsidR="00AC69D7" w:rsidTr="008347F1">
        <w:trPr>
          <w:trHeight w:val="56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9D7" w:rsidRDefault="00171CDD" w:rsidP="008347F1">
            <w:pPr>
              <w:pStyle w:val="a6"/>
              <w:numPr>
                <w:ilvl w:val="0"/>
                <w:numId w:val="11"/>
              </w:numPr>
              <w:ind w:firstLine="0"/>
            </w:pPr>
            <w:r>
              <w:t>Гарантийные обязательства</w:t>
            </w:r>
          </w:p>
        </w:tc>
      </w:tr>
      <w:tr w:rsidR="00AC69D7" w:rsidTr="008347F1">
        <w:trPr>
          <w:trHeight w:val="60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DF3" w:rsidRPr="0029788F" w:rsidRDefault="00A5363A" w:rsidP="008347F1">
            <w:pPr>
              <w:widowControl/>
              <w:ind w:firstLine="0"/>
              <w:jc w:val="left"/>
            </w:pPr>
            <w:r>
              <w:t>К</w:t>
            </w:r>
            <w:r w:rsidR="008B0DF3" w:rsidRPr="0029788F">
              <w:t>руглосуточн</w:t>
            </w:r>
            <w:r>
              <w:t>ая</w:t>
            </w:r>
            <w:r w:rsidR="008B0DF3" w:rsidRPr="0029788F">
              <w:t xml:space="preserve"> служб</w:t>
            </w:r>
            <w:r>
              <w:t>а</w:t>
            </w:r>
            <w:r w:rsidR="008B0DF3" w:rsidRPr="0029788F">
              <w:t xml:space="preserve"> технической поддержки, включая автоматизированную систему учета и контроля заявок.</w:t>
            </w:r>
          </w:p>
          <w:p w:rsidR="008B0DF3" w:rsidRPr="0029788F" w:rsidRDefault="008B0DF3" w:rsidP="008347F1">
            <w:pPr>
              <w:widowControl/>
              <w:ind w:firstLine="0"/>
              <w:jc w:val="left"/>
            </w:pPr>
          </w:p>
          <w:p w:rsidR="00AC69D7" w:rsidRDefault="00171CDD" w:rsidP="008347F1">
            <w:pPr>
              <w:ind w:firstLine="0"/>
            </w:pPr>
            <w:r>
              <w:t xml:space="preserve">Предоставить сервисный контракт 8x5 </w:t>
            </w:r>
            <w:r>
              <w:rPr>
                <w:lang w:val="en-US"/>
              </w:rPr>
              <w:t>NBD</w:t>
            </w:r>
            <w:r>
              <w:t xml:space="preserve"> на 3 года.</w:t>
            </w:r>
          </w:p>
          <w:p w:rsidR="008B0DF3" w:rsidRDefault="008B0DF3" w:rsidP="008347F1">
            <w:pPr>
              <w:ind w:firstLine="0"/>
            </w:pPr>
          </w:p>
          <w:p w:rsidR="004D70F8" w:rsidRDefault="004D70F8" w:rsidP="008347F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Техническая поддержка</w:t>
            </w:r>
            <w:r w:rsidRPr="00EC406B">
              <w:rPr>
                <w:szCs w:val="24"/>
              </w:rPr>
              <w:t xml:space="preserve"> должна обеспечивать:</w:t>
            </w:r>
          </w:p>
          <w:p w:rsidR="004D70F8" w:rsidRDefault="004D70F8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наличие ежедневной и круглосуточной неограниченной регистрации вызовов;</w:t>
            </w:r>
          </w:p>
          <w:p w:rsidR="004D70F8" w:rsidRDefault="004D70F8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предоставление доступа к базе знаний, центру поддержки, обновлениям ПО для системы;</w:t>
            </w:r>
          </w:p>
          <w:p w:rsidR="004D70F8" w:rsidRDefault="004D70F8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возможность запроса на создание критических обновлений в случае обнаружения ошибки в ПО системы;</w:t>
            </w:r>
          </w:p>
          <w:p w:rsidR="004D70F8" w:rsidRDefault="00EB2CBB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</w:t>
            </w:r>
            <w:r w:rsidR="004D70F8">
              <w:t>озможность интерактивного управления запросами, поданными через веб-портал;</w:t>
            </w:r>
          </w:p>
          <w:p w:rsidR="004D70F8" w:rsidRDefault="00EB2CBB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</w:t>
            </w:r>
            <w:r w:rsidR="004D70F8">
              <w:t>озможность изменения приоритета заявок заказчиком;</w:t>
            </w:r>
          </w:p>
          <w:p w:rsidR="004D70F8" w:rsidRDefault="00EB2CBB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</w:t>
            </w:r>
            <w:r w:rsidR="004D70F8">
              <w:t>ремя ответного звонка специалиста, не более - 4 ч;</w:t>
            </w:r>
          </w:p>
          <w:p w:rsidR="004D70F8" w:rsidRDefault="00EB2CBB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п</w:t>
            </w:r>
            <w:r w:rsidR="004D70F8">
              <w:t>омощь в анализе и технической оценке;</w:t>
            </w:r>
          </w:p>
          <w:p w:rsidR="004D70F8" w:rsidRDefault="00EB2CBB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lastRenderedPageBreak/>
              <w:t>п</w:t>
            </w:r>
            <w:r w:rsidR="004D70F8">
              <w:t>ередача вопроса на уровень специалистов отдела технической поддержки (уровень 2);</w:t>
            </w:r>
          </w:p>
          <w:p w:rsidR="004D70F8" w:rsidRDefault="00EB2CBB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п</w:t>
            </w:r>
            <w:r w:rsidR="004D70F8">
              <w:t>ередача вопроса на уровень разработки (уровень 3);</w:t>
            </w:r>
          </w:p>
          <w:p w:rsidR="004D70F8" w:rsidRDefault="00EB2CBB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</w:t>
            </w:r>
            <w:r w:rsidR="004D70F8">
              <w:t>ремя прибытия инженера для обслуживания неработоспособной системы на объекте – следующий рабочий день.</w:t>
            </w:r>
          </w:p>
          <w:p w:rsidR="008B0DF3" w:rsidRDefault="00EB2CBB" w:rsidP="008347F1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</w:t>
            </w:r>
            <w:r w:rsidR="008B0DF3" w:rsidRPr="008B0DF3">
              <w:t xml:space="preserve">озможность запроса на создание критических обновлений в случае </w:t>
            </w:r>
            <w:r w:rsidR="008B0DF3">
              <w:t>обнаружения ошибки в ПО системы.</w:t>
            </w:r>
          </w:p>
          <w:p w:rsidR="008B0DF3" w:rsidRDefault="008B0DF3" w:rsidP="008347F1">
            <w:pPr>
              <w:ind w:firstLine="0"/>
            </w:pPr>
          </w:p>
          <w:p w:rsidR="00AC69D7" w:rsidRPr="006824F7" w:rsidRDefault="00171CDD" w:rsidP="008347F1">
            <w:pPr>
              <w:ind w:firstLine="0"/>
            </w:pPr>
            <w:r w:rsidRPr="006824F7">
              <w:t>Предоставить комплект ЗиП для размещения на сайте Заказчика:</w:t>
            </w:r>
          </w:p>
          <w:p w:rsidR="00AC69D7" w:rsidRDefault="00753584" w:rsidP="008347F1">
            <w:pPr>
              <w:ind w:firstLine="0"/>
            </w:pPr>
            <w:r>
              <w:t>д</w:t>
            </w:r>
            <w:r w:rsidR="00171CDD" w:rsidRPr="006824F7">
              <w:t>исковый накопитель</w:t>
            </w:r>
            <w:r>
              <w:t xml:space="preserve"> той же модели, что установлены в СХД (</w:t>
            </w:r>
            <w:r w:rsidRPr="009844E0">
              <w:t>по 20 TiB (20*2</w:t>
            </w:r>
            <w:r w:rsidRPr="00753584">
              <w:rPr>
                <w:vertAlign w:val="superscript"/>
              </w:rPr>
              <w:t>40</w:t>
            </w:r>
            <w:r w:rsidRPr="009844E0">
              <w:t xml:space="preserve"> байтов) и более</w:t>
            </w:r>
            <w:r>
              <w:t>)</w:t>
            </w:r>
            <w:r w:rsidR="00171CDD" w:rsidRPr="006824F7">
              <w:t xml:space="preserve"> – не менее </w:t>
            </w:r>
            <w:r w:rsidR="0031514E">
              <w:t>6</w:t>
            </w:r>
            <w:r w:rsidR="00171CDD" w:rsidRPr="006824F7">
              <w:t xml:space="preserve"> шт.</w:t>
            </w:r>
          </w:p>
        </w:tc>
      </w:tr>
    </w:tbl>
    <w:p w:rsidR="00AC69D7" w:rsidRDefault="00AC69D7">
      <w:pPr>
        <w:ind w:firstLine="0"/>
      </w:pPr>
    </w:p>
    <w:p w:rsidR="00AC69D7" w:rsidRDefault="00AC69D7">
      <w:pPr>
        <w:ind w:firstLine="0"/>
      </w:pPr>
    </w:p>
    <w:tbl>
      <w:tblPr>
        <w:tblW w:w="93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C69D7" w:rsidTr="008347F1">
        <w:trPr>
          <w:trHeight w:val="56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9D7" w:rsidRDefault="00171CDD" w:rsidP="008347F1">
            <w:pPr>
              <w:pStyle w:val="a6"/>
              <w:ind w:left="34"/>
            </w:pPr>
            <w:r>
              <w:t>Тестирование и приёмка.</w:t>
            </w:r>
          </w:p>
        </w:tc>
      </w:tr>
      <w:tr w:rsidR="00AC69D7" w:rsidTr="008347F1">
        <w:trPr>
          <w:trHeight w:val="565"/>
        </w:trPr>
        <w:tc>
          <w:tcPr>
            <w:tcW w:w="9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88F" w:rsidRDefault="00171CDD" w:rsidP="008347F1">
            <w:pPr>
              <w:widowControl/>
              <w:ind w:left="34" w:firstLine="0"/>
              <w:jc w:val="left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t xml:space="preserve">Параметры поставленного и настроенного решения должны соответствовать заявленным производителем характеристикам. </w:t>
            </w:r>
          </w:p>
        </w:tc>
      </w:tr>
    </w:tbl>
    <w:p w:rsidR="00AC69D7" w:rsidRDefault="00AC69D7" w:rsidP="00A53870">
      <w:pPr>
        <w:ind w:firstLine="0"/>
        <w:jc w:val="left"/>
      </w:pPr>
    </w:p>
    <w:sectPr w:rsidR="00AC69D7">
      <w:pgSz w:w="11906" w:h="16838"/>
      <w:pgMar w:top="851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893"/>
    <w:multiLevelType w:val="hybridMultilevel"/>
    <w:tmpl w:val="3BCA4238"/>
    <w:lvl w:ilvl="0" w:tplc="041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" w15:restartNumberingAfterBreak="0">
    <w:nsid w:val="0CC939D1"/>
    <w:multiLevelType w:val="hybridMultilevel"/>
    <w:tmpl w:val="FE522EA2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" w15:restartNumberingAfterBreak="0">
    <w:nsid w:val="112D2332"/>
    <w:multiLevelType w:val="multilevel"/>
    <w:tmpl w:val="C276CD08"/>
    <w:lvl w:ilvl="0">
      <w:start w:val="1"/>
      <w:numFmt w:val="decimal"/>
      <w:lvlText w:val="Раздел 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0" w:hanging="432"/>
      </w:pPr>
      <w:rPr>
        <w:b/>
        <w:i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4" w:hanging="504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648"/>
      </w:pPr>
    </w:lvl>
    <w:lvl w:ilvl="4">
      <w:start w:val="1"/>
      <w:numFmt w:val="russianLower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16F021C"/>
    <w:multiLevelType w:val="hybridMultilevel"/>
    <w:tmpl w:val="511C3288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00CB"/>
    <w:multiLevelType w:val="multilevel"/>
    <w:tmpl w:val="0F127F74"/>
    <w:lvl w:ilvl="0">
      <w:start w:val="1"/>
      <w:numFmt w:val="decimal"/>
      <w:pStyle w:val="1"/>
      <w:lvlText w:val="Раздел 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000" w:hanging="432"/>
      </w:pPr>
      <w:rPr>
        <w:b/>
        <w:i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4" w:hanging="504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648"/>
      </w:pPr>
    </w:lvl>
    <w:lvl w:ilvl="4">
      <w:start w:val="1"/>
      <w:numFmt w:val="russianLower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1DD37113"/>
    <w:multiLevelType w:val="hybridMultilevel"/>
    <w:tmpl w:val="8F32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3823"/>
    <w:multiLevelType w:val="multilevel"/>
    <w:tmpl w:val="A31047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AC02E6"/>
    <w:multiLevelType w:val="multilevel"/>
    <w:tmpl w:val="D788219C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" w:hanging="1800"/>
      </w:pPr>
      <w:rPr>
        <w:rFonts w:eastAsia="Calibri"/>
      </w:rPr>
    </w:lvl>
  </w:abstractNum>
  <w:abstractNum w:abstractNumId="8" w15:restartNumberingAfterBreak="0">
    <w:nsid w:val="3290040A"/>
    <w:multiLevelType w:val="multilevel"/>
    <w:tmpl w:val="63004D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A707D4"/>
    <w:multiLevelType w:val="hybridMultilevel"/>
    <w:tmpl w:val="11D8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67187"/>
    <w:multiLevelType w:val="multilevel"/>
    <w:tmpl w:val="4A62EF9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11" w15:restartNumberingAfterBreak="0">
    <w:nsid w:val="4CD01063"/>
    <w:multiLevelType w:val="multilevel"/>
    <w:tmpl w:val="BC964FA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" w:hanging="1800"/>
      </w:pPr>
      <w:rPr>
        <w:rFonts w:eastAsia="Calibri"/>
      </w:rPr>
    </w:lvl>
  </w:abstractNum>
  <w:abstractNum w:abstractNumId="12" w15:restartNumberingAfterBreak="0">
    <w:nsid w:val="55167552"/>
    <w:multiLevelType w:val="hybridMultilevel"/>
    <w:tmpl w:val="FDC04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AD36D5"/>
    <w:multiLevelType w:val="multilevel"/>
    <w:tmpl w:val="98A45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</w:rPr>
    </w:lvl>
  </w:abstractNum>
  <w:abstractNum w:abstractNumId="14" w15:restartNumberingAfterBreak="0">
    <w:nsid w:val="59C05BAE"/>
    <w:multiLevelType w:val="hybridMultilevel"/>
    <w:tmpl w:val="940865B2"/>
    <w:lvl w:ilvl="0" w:tplc="04190001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5" w15:restartNumberingAfterBreak="0">
    <w:nsid w:val="5AB22B10"/>
    <w:multiLevelType w:val="multilevel"/>
    <w:tmpl w:val="67EE82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D3491"/>
    <w:multiLevelType w:val="multilevel"/>
    <w:tmpl w:val="B776C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82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6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72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94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76" w:hanging="1800"/>
      </w:pPr>
      <w:rPr>
        <w:sz w:val="24"/>
      </w:rPr>
    </w:lvl>
  </w:abstractNum>
  <w:abstractNum w:abstractNumId="17" w15:restartNumberingAfterBreak="0">
    <w:nsid w:val="6DA0680E"/>
    <w:multiLevelType w:val="multilevel"/>
    <w:tmpl w:val="729EA6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094A45"/>
    <w:multiLevelType w:val="multilevel"/>
    <w:tmpl w:val="11CC46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E546C2"/>
    <w:multiLevelType w:val="multilevel"/>
    <w:tmpl w:val="ACEE9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8"/>
  </w:num>
  <w:num w:numId="5">
    <w:abstractNumId w:val="17"/>
  </w:num>
  <w:num w:numId="6">
    <w:abstractNumId w:val="8"/>
  </w:num>
  <w:num w:numId="7">
    <w:abstractNumId w:val="6"/>
  </w:num>
  <w:num w:numId="8">
    <w:abstractNumId w:val="19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1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  <w:num w:numId="25">
    <w:abstractNumId w:val="5"/>
  </w:num>
  <w:num w:numId="26">
    <w:abstractNumId w:val="9"/>
  </w:num>
  <w:num w:numId="27">
    <w:abstractNumId w:val="0"/>
  </w:num>
  <w:num w:numId="28">
    <w:abstractNumId w:val="12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SG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SG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D7"/>
    <w:rsid w:val="00035C0E"/>
    <w:rsid w:val="00047D95"/>
    <w:rsid w:val="00064A52"/>
    <w:rsid w:val="00065B13"/>
    <w:rsid w:val="000828A4"/>
    <w:rsid w:val="00086FA3"/>
    <w:rsid w:val="000A3473"/>
    <w:rsid w:val="000D55C9"/>
    <w:rsid w:val="001229E0"/>
    <w:rsid w:val="00171CDD"/>
    <w:rsid w:val="0018424A"/>
    <w:rsid w:val="001A0BE3"/>
    <w:rsid w:val="001E6FA0"/>
    <w:rsid w:val="002111E3"/>
    <w:rsid w:val="0029788F"/>
    <w:rsid w:val="002B0696"/>
    <w:rsid w:val="002C6729"/>
    <w:rsid w:val="002E0351"/>
    <w:rsid w:val="0031151D"/>
    <w:rsid w:val="0031514E"/>
    <w:rsid w:val="003165AB"/>
    <w:rsid w:val="0032447D"/>
    <w:rsid w:val="0033397A"/>
    <w:rsid w:val="00334382"/>
    <w:rsid w:val="0035041F"/>
    <w:rsid w:val="003840AF"/>
    <w:rsid w:val="003F260F"/>
    <w:rsid w:val="004035D3"/>
    <w:rsid w:val="004137DE"/>
    <w:rsid w:val="004435D3"/>
    <w:rsid w:val="00455EF8"/>
    <w:rsid w:val="0048064A"/>
    <w:rsid w:val="00497F6F"/>
    <w:rsid w:val="004D70F8"/>
    <w:rsid w:val="004E4940"/>
    <w:rsid w:val="004E6C10"/>
    <w:rsid w:val="00541710"/>
    <w:rsid w:val="00595418"/>
    <w:rsid w:val="005D5F41"/>
    <w:rsid w:val="00610CBB"/>
    <w:rsid w:val="00644992"/>
    <w:rsid w:val="006455E6"/>
    <w:rsid w:val="00680523"/>
    <w:rsid w:val="006824F7"/>
    <w:rsid w:val="006B71B3"/>
    <w:rsid w:val="006F484D"/>
    <w:rsid w:val="00701C5B"/>
    <w:rsid w:val="007452B0"/>
    <w:rsid w:val="00753584"/>
    <w:rsid w:val="00753E56"/>
    <w:rsid w:val="007546A6"/>
    <w:rsid w:val="00761B49"/>
    <w:rsid w:val="007625C8"/>
    <w:rsid w:val="00780D61"/>
    <w:rsid w:val="007D3758"/>
    <w:rsid w:val="00805919"/>
    <w:rsid w:val="00816327"/>
    <w:rsid w:val="008347F1"/>
    <w:rsid w:val="0084270F"/>
    <w:rsid w:val="008467B0"/>
    <w:rsid w:val="008675B4"/>
    <w:rsid w:val="008B0DF3"/>
    <w:rsid w:val="008D0B2B"/>
    <w:rsid w:val="008E6FF4"/>
    <w:rsid w:val="009402E0"/>
    <w:rsid w:val="009844E0"/>
    <w:rsid w:val="00986F97"/>
    <w:rsid w:val="009A3F00"/>
    <w:rsid w:val="00A13FE9"/>
    <w:rsid w:val="00A15BCF"/>
    <w:rsid w:val="00A334A7"/>
    <w:rsid w:val="00A466CF"/>
    <w:rsid w:val="00A5363A"/>
    <w:rsid w:val="00A53870"/>
    <w:rsid w:val="00A65601"/>
    <w:rsid w:val="00AB74D2"/>
    <w:rsid w:val="00AC6463"/>
    <w:rsid w:val="00AC69D7"/>
    <w:rsid w:val="00B2358C"/>
    <w:rsid w:val="00B5358F"/>
    <w:rsid w:val="00B53E89"/>
    <w:rsid w:val="00B86A63"/>
    <w:rsid w:val="00B870C7"/>
    <w:rsid w:val="00B90E4F"/>
    <w:rsid w:val="00B926EE"/>
    <w:rsid w:val="00B96171"/>
    <w:rsid w:val="00BB3341"/>
    <w:rsid w:val="00BE6FA5"/>
    <w:rsid w:val="00C04CFF"/>
    <w:rsid w:val="00C22C94"/>
    <w:rsid w:val="00CC40FB"/>
    <w:rsid w:val="00CC5804"/>
    <w:rsid w:val="00CC6E78"/>
    <w:rsid w:val="00D20307"/>
    <w:rsid w:val="00D20835"/>
    <w:rsid w:val="00D22568"/>
    <w:rsid w:val="00D2637D"/>
    <w:rsid w:val="00D318EB"/>
    <w:rsid w:val="00D42A77"/>
    <w:rsid w:val="00D87043"/>
    <w:rsid w:val="00E7287A"/>
    <w:rsid w:val="00EA10EF"/>
    <w:rsid w:val="00EB2CBB"/>
    <w:rsid w:val="00EC58CE"/>
    <w:rsid w:val="00EE6CF8"/>
    <w:rsid w:val="00F53FD7"/>
    <w:rsid w:val="00FA16B5"/>
    <w:rsid w:val="00FE361D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19945-1030-47A4-82C5-D3580FA1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97"/>
    <w:pPr>
      <w:widowControl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47997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B47997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47997"/>
    <w:rPr>
      <w:rFonts w:ascii="Times New Roman" w:eastAsia="Times New Roman" w:hAnsi="Times New Roman" w:cs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qFormat/>
    <w:rsid w:val="00B47997"/>
    <w:rPr>
      <w:rFonts w:ascii="Times New Roman" w:eastAsia="Times New Roman" w:hAnsi="Times New Roman" w:cs="Times New Roman"/>
      <w:b/>
      <w:sz w:val="24"/>
      <w:szCs w:val="18"/>
      <w:lang w:val="x-none" w:eastAsia="x-none"/>
    </w:rPr>
  </w:style>
  <w:style w:type="character" w:customStyle="1" w:styleId="a3">
    <w:name w:val="Текст Знак"/>
    <w:basedOn w:val="a0"/>
    <w:link w:val="a4"/>
    <w:uiPriority w:val="99"/>
    <w:qFormat/>
    <w:rsid w:val="00B47997"/>
    <w:rPr>
      <w:rFonts w:ascii="Consolas" w:hAnsi="Consolas"/>
      <w:sz w:val="21"/>
      <w:szCs w:val="21"/>
    </w:rPr>
  </w:style>
  <w:style w:type="character" w:customStyle="1" w:styleId="a5">
    <w:name w:val="Абзац списка Знак"/>
    <w:link w:val="a6"/>
    <w:uiPriority w:val="34"/>
    <w:qFormat/>
    <w:locked/>
    <w:rsid w:val="00B47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95AD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97DB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9760FD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qFormat/>
    <w:rsid w:val="009760FD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9760FD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986A71"/>
    <w:rPr>
      <w:color w:val="605E5C"/>
      <w:shd w:val="clear" w:color="auto" w:fill="E1DFDD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Plain Text"/>
    <w:basedOn w:val="a"/>
    <w:link w:val="a3"/>
    <w:uiPriority w:val="99"/>
    <w:unhideWhenUsed/>
    <w:qFormat/>
    <w:rsid w:val="00B47997"/>
    <w:pPr>
      <w:widowControl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styleId="a6">
    <w:name w:val="List Paragraph"/>
    <w:basedOn w:val="a"/>
    <w:link w:val="a5"/>
    <w:uiPriority w:val="34"/>
    <w:qFormat/>
    <w:rsid w:val="00B47997"/>
    <w:pPr>
      <w:widowControl/>
      <w:ind w:left="720" w:firstLine="0"/>
      <w:contextualSpacing/>
      <w:jc w:val="left"/>
    </w:pPr>
    <w:rPr>
      <w:rFonts w:cs="Times New Roman"/>
      <w:szCs w:val="24"/>
    </w:rPr>
  </w:style>
  <w:style w:type="paragraph" w:styleId="a8">
    <w:name w:val="Balloon Text"/>
    <w:basedOn w:val="a"/>
    <w:link w:val="a7"/>
    <w:uiPriority w:val="99"/>
    <w:semiHidden/>
    <w:unhideWhenUsed/>
    <w:qFormat/>
    <w:rsid w:val="00995AD0"/>
    <w:rPr>
      <w:rFonts w:ascii="Segoe UI" w:hAnsi="Segoe UI" w:cs="Segoe UI"/>
      <w:sz w:val="18"/>
    </w:rPr>
  </w:style>
  <w:style w:type="paragraph" w:styleId="af4">
    <w:name w:val="Normal (Web)"/>
    <w:basedOn w:val="a"/>
    <w:uiPriority w:val="99"/>
    <w:unhideWhenUsed/>
    <w:qFormat/>
    <w:rsid w:val="00D81704"/>
    <w:pPr>
      <w:widowControl/>
      <w:spacing w:beforeAutospacing="1" w:afterAutospacing="1"/>
      <w:ind w:firstLine="0"/>
      <w:jc w:val="left"/>
    </w:pPr>
    <w:rPr>
      <w:rFonts w:cs="Times New Roman"/>
      <w:szCs w:val="24"/>
    </w:rPr>
  </w:style>
  <w:style w:type="paragraph" w:styleId="ac">
    <w:name w:val="annotation text"/>
    <w:basedOn w:val="a"/>
    <w:link w:val="ab"/>
    <w:uiPriority w:val="99"/>
    <w:unhideWhenUsed/>
    <w:qFormat/>
    <w:rsid w:val="009760FD"/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9760FD"/>
    <w:rPr>
      <w:b/>
      <w:bCs/>
    </w:rPr>
  </w:style>
  <w:style w:type="paragraph" w:styleId="af5">
    <w:name w:val="Revision"/>
    <w:hidden/>
    <w:uiPriority w:val="99"/>
    <w:semiHidden/>
    <w:rsid w:val="00A15BCF"/>
    <w:pPr>
      <w:suppressAutoHyphens w:val="0"/>
    </w:pPr>
    <w:rPr>
      <w:rFonts w:ascii="Times New Roman" w:eastAsia="Times New Roman" w:hAnsi="Times New Roman" w:cs="Arial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82EA-ADE2-4BDC-9BCE-25A8925A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dc:description/>
  <cp:lastModifiedBy>Natalya V. Vorobieva</cp:lastModifiedBy>
  <cp:revision>2</cp:revision>
  <cp:lastPrinted>2019-09-24T13:31:00Z</cp:lastPrinted>
  <dcterms:created xsi:type="dcterms:W3CDTF">2024-05-30T05:31:00Z</dcterms:created>
  <dcterms:modified xsi:type="dcterms:W3CDTF">2024-05-30T05:31:00Z</dcterms:modified>
  <dc:language>ru-RU</dc:language>
</cp:coreProperties>
</file>