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2E27FC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3FCDAC7D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9A6E1F">
              <w:rPr>
                <w:b/>
              </w:rPr>
              <w:t xml:space="preserve"> на поставку стеклотекстолита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0070840C" w14:textId="77777777" w:rsidR="009A6E1F" w:rsidRDefault="00AF0239" w:rsidP="009A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CD461E0" w:rsidR="008E6073" w:rsidRPr="008264DF" w:rsidRDefault="008E6073" w:rsidP="009A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7ABBD63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Договора;</w:t>
            </w:r>
          </w:p>
          <w:p w14:paraId="74A079F0" w14:textId="13160853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156EBE90" w14:textId="6716FC65" w:rsidR="009A6E1F" w:rsidRDefault="008E6073" w:rsidP="009A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9A6E1F">
              <w:t>100</w:t>
            </w:r>
            <w:r w:rsidRPr="008264DF">
              <w:t xml:space="preserve"> %</w:t>
            </w:r>
            <w:r w:rsidR="009A6E1F">
              <w:t>.</w:t>
            </w:r>
          </w:p>
          <w:p w14:paraId="64DC6FAA" w14:textId="299D5FBE" w:rsidR="008E6073" w:rsidRPr="008264DF" w:rsidRDefault="008E6073" w:rsidP="009A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0C972F5F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1F00F6B4" w:rsidR="008E6073" w:rsidRPr="008264DF" w:rsidRDefault="00052BA3" w:rsidP="009A6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37BD87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366600D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  <w:r w:rsidRPr="008264DF">
              <w:t>/ Проект Договора Участника</w:t>
            </w:r>
            <w:r w:rsidRPr="008264DF">
              <w:rPr>
                <w:color w:val="FF0000"/>
              </w:rPr>
              <w:t xml:space="preserve"> 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087DA01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47DC71CA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5C3A089A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3968D14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6F137732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9A6E1F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57C37B28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3E1164E1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8264DF" w14:paraId="73D550D5" w14:textId="77777777" w:rsidTr="009A6E1F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9A6E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462CBF9" w14:textId="1C0ED808" w:rsidR="00C240D2" w:rsidRPr="008264DF" w:rsidRDefault="00C240D2" w:rsidP="009A6E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D37FA3B" w14:textId="77777777" w:rsidR="00C240D2" w:rsidRPr="008264DF" w:rsidRDefault="00C240D2" w:rsidP="009A6E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8264DF" w:rsidRDefault="00C240D2" w:rsidP="009A6E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9A6E1F" w:rsidRPr="008264DF" w14:paraId="1CF40DAB" w14:textId="77777777" w:rsidTr="009A6E1F">
        <w:tc>
          <w:tcPr>
            <w:tcW w:w="733" w:type="dxa"/>
            <w:shd w:val="clear" w:color="auto" w:fill="auto"/>
            <w:vAlign w:val="center"/>
          </w:tcPr>
          <w:p w14:paraId="598AF7E9" w14:textId="77777777" w:rsidR="009A6E1F" w:rsidRPr="008264DF" w:rsidRDefault="009A6E1F" w:rsidP="009A6E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39DB0368" w:rsidR="009A6E1F" w:rsidRPr="008264DF" w:rsidRDefault="009A6E1F" w:rsidP="009A6E1F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Минимальный объем выручки Участника за последние 2 отчетных финансовых года (сумма в строке № 2110 формы 2 бухгалтерского баланса за 2022-2023 год не менее </w:t>
            </w:r>
            <w:r>
              <w:rPr>
                <w:rFonts w:cs="Times New Roman"/>
                <w:szCs w:val="20"/>
              </w:rPr>
              <w:t>10</w:t>
            </w:r>
            <w:r w:rsidRPr="00ED261F">
              <w:rPr>
                <w:rFonts w:cs="Times New Roman"/>
                <w:szCs w:val="20"/>
              </w:rPr>
              <w:t xml:space="preserve"> млн. рублей за </w:t>
            </w:r>
            <w:r w:rsidRPr="00ED261F">
              <w:rPr>
                <w:rFonts w:cs="Times New Roman"/>
                <w:b/>
                <w:szCs w:val="20"/>
              </w:rPr>
              <w:t>КАЖДЫЙ</w:t>
            </w:r>
            <w:r w:rsidRPr="00ED261F">
              <w:rPr>
                <w:rFonts w:cs="Times New Roman"/>
                <w:szCs w:val="20"/>
              </w:rPr>
              <w:t xml:space="preserve"> год).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16790F6" w14:textId="77777777" w:rsidR="009A6E1F" w:rsidRPr="008264DF" w:rsidRDefault="009A6E1F" w:rsidP="009A6E1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55876F83" w:rsidR="009A6E1F" w:rsidRPr="008264DF" w:rsidRDefault="009A6E1F" w:rsidP="009A6E1F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Форма 2 бухгалтерского баланса за 2022-2023 годы</w:t>
            </w:r>
          </w:p>
        </w:tc>
      </w:tr>
      <w:tr w:rsidR="00C240D2" w:rsidRPr="008264DF" w14:paraId="6C2A4CBA" w14:textId="77777777" w:rsidTr="009A6E1F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8264DF" w:rsidRDefault="00C240D2" w:rsidP="009A6E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10B13BEB" w:rsidR="00C240D2" w:rsidRPr="009A6E1F" w:rsidRDefault="009A6E1F" w:rsidP="009A6E1F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 w:rsidRPr="009A6E1F">
              <w:rPr>
                <w:rFonts w:eastAsia="SimSun" w:cs="Times New Roman"/>
                <w:szCs w:val="20"/>
              </w:rPr>
              <w:t xml:space="preserve">Поставляемая продукция соответствует </w:t>
            </w:r>
            <w:r>
              <w:rPr>
                <w:rFonts w:eastAsia="SimSun" w:cs="Times New Roman"/>
                <w:szCs w:val="20"/>
              </w:rPr>
              <w:t xml:space="preserve">сорту СТЭФ-1 по </w:t>
            </w:r>
            <w:r w:rsidRPr="009A6E1F">
              <w:rPr>
                <w:rFonts w:eastAsia="SimSun" w:cs="Times New Roman"/>
                <w:szCs w:val="20"/>
              </w:rPr>
              <w:t>ГОСТ</w:t>
            </w:r>
            <w:r>
              <w:rPr>
                <w:rFonts w:eastAsia="SimSun" w:cs="Times New Roman"/>
                <w:szCs w:val="20"/>
              </w:rPr>
              <w:t xml:space="preserve"> </w:t>
            </w:r>
            <w:r>
              <w:rPr>
                <w:color w:val="000000"/>
              </w:rPr>
              <w:t>12652-74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5A332B4" w14:textId="77777777" w:rsidR="00C240D2" w:rsidRPr="008264DF" w:rsidRDefault="00C240D2" w:rsidP="009A6E1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5DAB38CF" w:rsidR="00C240D2" w:rsidRPr="008264DF" w:rsidRDefault="00B52E0E" w:rsidP="009A6E1F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  <w:tr w:rsidR="00DF4EEA" w:rsidRPr="008264DF" w14:paraId="3100287F" w14:textId="77777777" w:rsidTr="009A6E1F">
        <w:tc>
          <w:tcPr>
            <w:tcW w:w="733" w:type="dxa"/>
            <w:shd w:val="clear" w:color="auto" w:fill="auto"/>
            <w:vAlign w:val="center"/>
          </w:tcPr>
          <w:p w14:paraId="6D79ED04" w14:textId="6E1E6EEB" w:rsidR="00DF4EEA" w:rsidRPr="008264DF" w:rsidRDefault="00DF4EEA" w:rsidP="009A6E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986B713" w14:textId="16B80313" w:rsidR="00DF4EEA" w:rsidRPr="009A6E1F" w:rsidRDefault="00DF4EEA" w:rsidP="009A6E1F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Участник подтверждает готовность осуществлять поставку партиями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02A4139" w14:textId="77777777" w:rsidR="00DF4EEA" w:rsidRPr="008264DF" w:rsidRDefault="00DF4EEA" w:rsidP="009A6E1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150226" w14:textId="34E672F7" w:rsidR="00DF4EEA" w:rsidRDefault="00DF4EEA" w:rsidP="009A6E1F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99D3728" w14:textId="77777777" w:rsidR="00604F28" w:rsidRDefault="00BC18EC" w:rsidP="003E50A3">
      <w:pPr>
        <w:rPr>
          <w:rFonts w:cs="Times New Roman"/>
          <w:b/>
          <w:szCs w:val="20"/>
        </w:rPr>
        <w:sectPr w:rsidR="00604F28" w:rsidSect="00581429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8264DF">
        <w:rPr>
          <w:rFonts w:cs="Times New Roman"/>
          <w:b/>
          <w:szCs w:val="20"/>
        </w:rPr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604F28">
      <w:pPr>
        <w:spacing w:after="0" w:line="240" w:lineRule="auto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604F28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604F28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604F28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604F28">
      <w:pPr>
        <w:spacing w:after="0" w:line="240" w:lineRule="auto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604F28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3E6D4CC6" w14:textId="77777777" w:rsidR="006E1AF6" w:rsidRDefault="006E1AF6" w:rsidP="003E50A3">
      <w:pPr>
        <w:rPr>
          <w:rFonts w:cs="Times New Roman"/>
          <w:szCs w:val="20"/>
        </w:rPr>
      </w:pPr>
    </w:p>
    <w:p w14:paraId="68BE40EE" w14:textId="03786FFF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формате!</w:t>
      </w:r>
    </w:p>
    <w:tbl>
      <w:tblPr>
        <w:tblStyle w:val="a5"/>
        <w:tblW w:w="15445" w:type="dxa"/>
        <w:tblLayout w:type="fixed"/>
        <w:tblLook w:val="04A0" w:firstRow="1" w:lastRow="0" w:firstColumn="1" w:lastColumn="0" w:noHBand="0" w:noVBand="1"/>
      </w:tblPr>
      <w:tblGrid>
        <w:gridCol w:w="486"/>
        <w:gridCol w:w="4329"/>
        <w:gridCol w:w="709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171BA3" w14:paraId="4955F3AE" w14:textId="000AC00E" w:rsidTr="00171BA3">
        <w:tc>
          <w:tcPr>
            <w:tcW w:w="486" w:type="dxa"/>
            <w:vMerge w:val="restart"/>
            <w:vAlign w:val="center"/>
          </w:tcPr>
          <w:p w14:paraId="45204B52" w14:textId="148519C5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№ п/п</w:t>
            </w:r>
          </w:p>
        </w:tc>
        <w:tc>
          <w:tcPr>
            <w:tcW w:w="4329" w:type="dxa"/>
            <w:vMerge w:val="restart"/>
            <w:vAlign w:val="center"/>
          </w:tcPr>
          <w:p w14:paraId="02F654EC" w14:textId="02760A22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Наименование товара</w:t>
            </w:r>
          </w:p>
        </w:tc>
        <w:tc>
          <w:tcPr>
            <w:tcW w:w="10630" w:type="dxa"/>
            <w:gridSpan w:val="11"/>
            <w:vAlign w:val="center"/>
          </w:tcPr>
          <w:p w14:paraId="37767C9A" w14:textId="45BA091C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 xml:space="preserve">Стоимость за единицу, рублей без НДС (в зависимости от </w:t>
            </w:r>
            <w:r>
              <w:rPr>
                <w:b/>
              </w:rPr>
              <w:t>количества листов в</w:t>
            </w:r>
            <w:r w:rsidRPr="00E94804">
              <w:rPr>
                <w:b/>
              </w:rPr>
              <w:t xml:space="preserve"> партии)</w:t>
            </w:r>
          </w:p>
        </w:tc>
      </w:tr>
      <w:tr w:rsidR="00171BA3" w14:paraId="4C7BD8B9" w14:textId="5796FD88" w:rsidTr="00171BA3">
        <w:tc>
          <w:tcPr>
            <w:tcW w:w="486" w:type="dxa"/>
            <w:vMerge/>
            <w:vAlign w:val="center"/>
          </w:tcPr>
          <w:p w14:paraId="66C6AE19" w14:textId="2BCDE2DE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29" w:type="dxa"/>
            <w:vMerge/>
            <w:vAlign w:val="center"/>
          </w:tcPr>
          <w:p w14:paraId="6F11DFDA" w14:textId="1FF7DA15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BC5A82E" w14:textId="62066172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до 10</w:t>
            </w:r>
          </w:p>
        </w:tc>
        <w:tc>
          <w:tcPr>
            <w:tcW w:w="992" w:type="dxa"/>
            <w:vAlign w:val="center"/>
          </w:tcPr>
          <w:p w14:paraId="08D1BB77" w14:textId="722C49FD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Свыше 10</w:t>
            </w:r>
          </w:p>
        </w:tc>
        <w:tc>
          <w:tcPr>
            <w:tcW w:w="992" w:type="dxa"/>
            <w:vAlign w:val="center"/>
          </w:tcPr>
          <w:p w14:paraId="71117408" w14:textId="587802F9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Свыше 20</w:t>
            </w:r>
          </w:p>
        </w:tc>
        <w:tc>
          <w:tcPr>
            <w:tcW w:w="992" w:type="dxa"/>
            <w:vAlign w:val="center"/>
          </w:tcPr>
          <w:p w14:paraId="459D52C3" w14:textId="7BA8B022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Свыше 30</w:t>
            </w:r>
          </w:p>
        </w:tc>
        <w:tc>
          <w:tcPr>
            <w:tcW w:w="993" w:type="dxa"/>
            <w:vAlign w:val="center"/>
          </w:tcPr>
          <w:p w14:paraId="3F7CE66B" w14:textId="0FD27657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Свыше 40</w:t>
            </w:r>
          </w:p>
        </w:tc>
        <w:tc>
          <w:tcPr>
            <w:tcW w:w="992" w:type="dxa"/>
            <w:vAlign w:val="center"/>
          </w:tcPr>
          <w:p w14:paraId="35A08012" w14:textId="1FB14553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>Свыше 50</w:t>
            </w:r>
          </w:p>
        </w:tc>
        <w:tc>
          <w:tcPr>
            <w:tcW w:w="992" w:type="dxa"/>
          </w:tcPr>
          <w:p w14:paraId="1BA782BE" w14:textId="095C1241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 xml:space="preserve">Свыше </w:t>
            </w:r>
            <w:r>
              <w:rPr>
                <w:b/>
              </w:rPr>
              <w:t>6</w:t>
            </w:r>
            <w:r w:rsidRPr="00E94804">
              <w:rPr>
                <w:b/>
              </w:rPr>
              <w:t>0</w:t>
            </w:r>
          </w:p>
        </w:tc>
        <w:tc>
          <w:tcPr>
            <w:tcW w:w="992" w:type="dxa"/>
          </w:tcPr>
          <w:p w14:paraId="044F80E1" w14:textId="0532EE52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 xml:space="preserve">Свыше </w:t>
            </w:r>
            <w:r>
              <w:rPr>
                <w:b/>
              </w:rPr>
              <w:t>7</w:t>
            </w:r>
            <w:r w:rsidRPr="00E94804">
              <w:rPr>
                <w:b/>
              </w:rPr>
              <w:t>0</w:t>
            </w:r>
          </w:p>
        </w:tc>
        <w:tc>
          <w:tcPr>
            <w:tcW w:w="992" w:type="dxa"/>
          </w:tcPr>
          <w:p w14:paraId="005AC5A6" w14:textId="676F0043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 xml:space="preserve">Свыше </w:t>
            </w:r>
            <w:r>
              <w:rPr>
                <w:b/>
              </w:rPr>
              <w:t>8</w:t>
            </w:r>
            <w:r w:rsidRPr="00E94804">
              <w:rPr>
                <w:b/>
              </w:rPr>
              <w:t>0</w:t>
            </w:r>
          </w:p>
        </w:tc>
        <w:tc>
          <w:tcPr>
            <w:tcW w:w="992" w:type="dxa"/>
          </w:tcPr>
          <w:p w14:paraId="6581D1C2" w14:textId="0726280B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 xml:space="preserve">Свыше </w:t>
            </w:r>
            <w:r>
              <w:rPr>
                <w:b/>
              </w:rPr>
              <w:t>9</w:t>
            </w:r>
            <w:r w:rsidRPr="00E94804">
              <w:rPr>
                <w:b/>
              </w:rPr>
              <w:t>0</w:t>
            </w:r>
          </w:p>
        </w:tc>
        <w:tc>
          <w:tcPr>
            <w:tcW w:w="992" w:type="dxa"/>
          </w:tcPr>
          <w:p w14:paraId="56892CDC" w14:textId="2D75775E" w:rsidR="00171BA3" w:rsidRPr="00E94804" w:rsidRDefault="00171BA3" w:rsidP="001D2B58">
            <w:pPr>
              <w:spacing w:line="240" w:lineRule="auto"/>
              <w:jc w:val="center"/>
              <w:rPr>
                <w:b/>
              </w:rPr>
            </w:pPr>
            <w:r w:rsidRPr="00E94804">
              <w:rPr>
                <w:b/>
              </w:rPr>
              <w:t xml:space="preserve">Свыше </w:t>
            </w:r>
            <w:r>
              <w:rPr>
                <w:b/>
              </w:rPr>
              <w:t>100</w:t>
            </w:r>
          </w:p>
        </w:tc>
      </w:tr>
      <w:tr w:rsidR="00171BA3" w14:paraId="0C5C2F41" w14:textId="678AE7AF" w:rsidTr="00171BA3">
        <w:tc>
          <w:tcPr>
            <w:tcW w:w="486" w:type="dxa"/>
            <w:vAlign w:val="center"/>
          </w:tcPr>
          <w:p w14:paraId="463603EE" w14:textId="1799B123" w:rsidR="00171BA3" w:rsidRDefault="00171BA3" w:rsidP="0089689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329" w:type="dxa"/>
            <w:vAlign w:val="center"/>
          </w:tcPr>
          <w:p w14:paraId="21418952" w14:textId="1DADFCA2" w:rsidR="00171BA3" w:rsidRDefault="00171BA3" w:rsidP="0089689D">
            <w:pPr>
              <w:spacing w:line="240" w:lineRule="auto"/>
            </w:pPr>
            <w:r>
              <w:t>Л</w:t>
            </w:r>
            <w:r w:rsidRPr="00C571E7">
              <w:t xml:space="preserve">ист СТЭФ-1 </w:t>
            </w:r>
            <w:proofErr w:type="spellStart"/>
            <w:r w:rsidRPr="00C571E7">
              <w:t>в.с</w:t>
            </w:r>
            <w:proofErr w:type="spellEnd"/>
            <w:r w:rsidRPr="00C571E7">
              <w:t>. 2000х1000 (ГОСТ 12652-74)</w:t>
            </w:r>
          </w:p>
        </w:tc>
        <w:tc>
          <w:tcPr>
            <w:tcW w:w="709" w:type="dxa"/>
          </w:tcPr>
          <w:p w14:paraId="6A3DC9AE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F6F0F92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2B53B71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3DB62B01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3" w:type="dxa"/>
          </w:tcPr>
          <w:p w14:paraId="109C8DBF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60F69DB2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712A20E2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783C838C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FE04F45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2F643E42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6E716C4" w14:textId="77777777" w:rsidR="00171BA3" w:rsidRDefault="00171BA3" w:rsidP="0089689D">
            <w:pPr>
              <w:spacing w:line="240" w:lineRule="auto"/>
            </w:pPr>
          </w:p>
        </w:tc>
      </w:tr>
      <w:tr w:rsidR="00171BA3" w14:paraId="3C95CE35" w14:textId="7A613025" w:rsidTr="00171BA3">
        <w:tc>
          <w:tcPr>
            <w:tcW w:w="486" w:type="dxa"/>
            <w:vAlign w:val="center"/>
          </w:tcPr>
          <w:p w14:paraId="478D82D1" w14:textId="7E2D4D59" w:rsidR="00171BA3" w:rsidRDefault="00171BA3" w:rsidP="0089689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329" w:type="dxa"/>
            <w:vAlign w:val="center"/>
          </w:tcPr>
          <w:p w14:paraId="1AE05A3A" w14:textId="3AD7C457" w:rsidR="00171BA3" w:rsidRDefault="00171BA3" w:rsidP="0089689D">
            <w:pPr>
              <w:spacing w:line="240" w:lineRule="auto"/>
            </w:pPr>
            <w:r>
              <w:t>Л</w:t>
            </w:r>
            <w:r w:rsidRPr="00C571E7">
              <w:t xml:space="preserve">ист СТЭФ-1 </w:t>
            </w:r>
            <w:proofErr w:type="spellStart"/>
            <w:r w:rsidRPr="00C571E7">
              <w:t>в.с</w:t>
            </w:r>
            <w:proofErr w:type="spellEnd"/>
            <w:r w:rsidRPr="00C571E7">
              <w:t>. 2000х1000 (ГОСТ 12652-74)</w:t>
            </w:r>
          </w:p>
        </w:tc>
        <w:tc>
          <w:tcPr>
            <w:tcW w:w="709" w:type="dxa"/>
          </w:tcPr>
          <w:p w14:paraId="2BF235CB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0606749B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0B41934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837B0E3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3" w:type="dxa"/>
          </w:tcPr>
          <w:p w14:paraId="6B89DBDD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22C4A09A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0092268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0979DB15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28AE101D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981F6EB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7D80FE90" w14:textId="77777777" w:rsidR="00171BA3" w:rsidRDefault="00171BA3" w:rsidP="0089689D">
            <w:pPr>
              <w:spacing w:line="240" w:lineRule="auto"/>
            </w:pPr>
          </w:p>
        </w:tc>
      </w:tr>
      <w:tr w:rsidR="00171BA3" w14:paraId="1E33A40A" w14:textId="58B2D5B8" w:rsidTr="00171BA3">
        <w:tc>
          <w:tcPr>
            <w:tcW w:w="486" w:type="dxa"/>
            <w:vAlign w:val="center"/>
          </w:tcPr>
          <w:p w14:paraId="5A149939" w14:textId="2AFD5408" w:rsidR="00171BA3" w:rsidRDefault="00171BA3" w:rsidP="0089689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329" w:type="dxa"/>
            <w:vAlign w:val="center"/>
          </w:tcPr>
          <w:p w14:paraId="634714F8" w14:textId="0745B73A" w:rsidR="00171BA3" w:rsidRDefault="00171BA3" w:rsidP="0089689D">
            <w:pPr>
              <w:spacing w:line="240" w:lineRule="auto"/>
            </w:pPr>
            <w:r>
              <w:t>Л</w:t>
            </w:r>
            <w:r w:rsidRPr="00C571E7">
              <w:t xml:space="preserve">ист СТЭФ-1 </w:t>
            </w:r>
            <w:proofErr w:type="spellStart"/>
            <w:r w:rsidRPr="00C571E7">
              <w:t>в.с</w:t>
            </w:r>
            <w:proofErr w:type="spellEnd"/>
            <w:r w:rsidRPr="00C571E7">
              <w:t>. 2000х1000 (ГОСТ 12652-74)</w:t>
            </w:r>
          </w:p>
        </w:tc>
        <w:tc>
          <w:tcPr>
            <w:tcW w:w="709" w:type="dxa"/>
          </w:tcPr>
          <w:p w14:paraId="38FC5233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2EA3BC7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2F04258C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D21470C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3" w:type="dxa"/>
          </w:tcPr>
          <w:p w14:paraId="10AF7360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35E9DF73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17059E3E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D9462F3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6074AC38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4AD3A46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FBDD3FA" w14:textId="77777777" w:rsidR="00171BA3" w:rsidRDefault="00171BA3" w:rsidP="0089689D">
            <w:pPr>
              <w:spacing w:line="240" w:lineRule="auto"/>
            </w:pPr>
          </w:p>
        </w:tc>
      </w:tr>
      <w:tr w:rsidR="00171BA3" w14:paraId="336A8964" w14:textId="1079F963" w:rsidTr="00171BA3">
        <w:tc>
          <w:tcPr>
            <w:tcW w:w="486" w:type="dxa"/>
            <w:vAlign w:val="center"/>
          </w:tcPr>
          <w:p w14:paraId="3E28C982" w14:textId="538D84C2" w:rsidR="00171BA3" w:rsidRDefault="00171BA3" w:rsidP="0089689D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329" w:type="dxa"/>
            <w:vAlign w:val="center"/>
          </w:tcPr>
          <w:p w14:paraId="3DC74AB5" w14:textId="556328DA" w:rsidR="00171BA3" w:rsidRDefault="00171BA3" w:rsidP="0089689D">
            <w:pPr>
              <w:spacing w:line="240" w:lineRule="auto"/>
            </w:pPr>
            <w:r>
              <w:t>Л</w:t>
            </w:r>
            <w:r w:rsidRPr="00C571E7">
              <w:t xml:space="preserve">ист СТЭФ-1 </w:t>
            </w:r>
            <w:proofErr w:type="spellStart"/>
            <w:r w:rsidRPr="00C571E7">
              <w:t>в.с</w:t>
            </w:r>
            <w:proofErr w:type="spellEnd"/>
            <w:r w:rsidRPr="00C571E7">
              <w:t>. 1000х500 (ГОСТ 12652-74)</w:t>
            </w:r>
          </w:p>
        </w:tc>
        <w:tc>
          <w:tcPr>
            <w:tcW w:w="709" w:type="dxa"/>
          </w:tcPr>
          <w:p w14:paraId="2189CA5D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3E2505A3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2D560C5E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92536EE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3" w:type="dxa"/>
          </w:tcPr>
          <w:p w14:paraId="03B93EED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74AFC43D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61514667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0606CCC4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BE6EB20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138BFCFC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3260FD18" w14:textId="77777777" w:rsidR="00171BA3" w:rsidRDefault="00171BA3" w:rsidP="0089689D">
            <w:pPr>
              <w:spacing w:line="240" w:lineRule="auto"/>
            </w:pPr>
          </w:p>
        </w:tc>
      </w:tr>
      <w:tr w:rsidR="00171BA3" w14:paraId="35B10473" w14:textId="4DDA490D" w:rsidTr="00171BA3">
        <w:tc>
          <w:tcPr>
            <w:tcW w:w="486" w:type="dxa"/>
            <w:vAlign w:val="center"/>
          </w:tcPr>
          <w:p w14:paraId="19258272" w14:textId="772AD5BF" w:rsidR="00171BA3" w:rsidRDefault="00171BA3" w:rsidP="0089689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329" w:type="dxa"/>
            <w:vAlign w:val="center"/>
          </w:tcPr>
          <w:p w14:paraId="4F09FCF8" w14:textId="555FE0E7" w:rsidR="00171BA3" w:rsidRDefault="00171BA3" w:rsidP="0089689D">
            <w:pPr>
              <w:spacing w:line="240" w:lineRule="auto"/>
            </w:pPr>
            <w:r>
              <w:t>Л</w:t>
            </w:r>
            <w:r w:rsidRPr="00C571E7">
              <w:t xml:space="preserve">ист СТЭФ-1 </w:t>
            </w:r>
            <w:proofErr w:type="spellStart"/>
            <w:r w:rsidRPr="00C571E7">
              <w:t>в.с</w:t>
            </w:r>
            <w:proofErr w:type="spellEnd"/>
            <w:r w:rsidRPr="00C571E7">
              <w:t>. 1000х500 (ГОСТ 12652-74)</w:t>
            </w:r>
          </w:p>
        </w:tc>
        <w:tc>
          <w:tcPr>
            <w:tcW w:w="709" w:type="dxa"/>
          </w:tcPr>
          <w:p w14:paraId="4D3AA0B7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D347887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100AA09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5187F0B0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3" w:type="dxa"/>
          </w:tcPr>
          <w:p w14:paraId="67296C79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3B33444F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2B94E051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096E4A16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77BC1BEF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32D34E64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</w:tcPr>
          <w:p w14:paraId="4A314E90" w14:textId="77777777" w:rsidR="00171BA3" w:rsidRDefault="00171BA3" w:rsidP="0089689D">
            <w:pPr>
              <w:spacing w:line="240" w:lineRule="auto"/>
            </w:pPr>
          </w:p>
        </w:tc>
      </w:tr>
      <w:tr w:rsidR="00171BA3" w14:paraId="3C7D35BD" w14:textId="609FD828" w:rsidTr="002E27FC"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6BD83C0E" w14:textId="77A2BA5E" w:rsidR="00171BA3" w:rsidRPr="000228A5" w:rsidRDefault="00171BA3" w:rsidP="00A67492">
            <w:pPr>
              <w:spacing w:line="240" w:lineRule="auto"/>
              <w:jc w:val="right"/>
              <w:rPr>
                <w:b/>
              </w:rPr>
            </w:pPr>
            <w:bookmarkStart w:id="2" w:name="_GoBack"/>
            <w:r w:rsidRPr="000228A5">
              <w:rPr>
                <w:b/>
              </w:rPr>
              <w:t>Срок поставки партии, календарных дней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84D8D9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07FEF19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46C00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AFEE47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B54EF10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4640769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A91741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EDFA06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195881E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9A7D7C" w14:textId="77777777" w:rsidR="00171BA3" w:rsidRDefault="00171BA3" w:rsidP="0089689D">
            <w:pPr>
              <w:spacing w:line="240" w:lineRule="auto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F345B4F" w14:textId="77777777" w:rsidR="00171BA3" w:rsidRDefault="00171BA3" w:rsidP="0089689D">
            <w:pPr>
              <w:spacing w:line="240" w:lineRule="auto"/>
            </w:pPr>
          </w:p>
        </w:tc>
      </w:tr>
    </w:tbl>
    <w:bookmarkEnd w:id="2"/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352B4862" w14:textId="77777777" w:rsidR="00604F28" w:rsidRDefault="00604F28" w:rsidP="004034A2">
      <w:pPr>
        <w:rPr>
          <w:rFonts w:cs="Times New Roman"/>
          <w:b/>
          <w:szCs w:val="20"/>
        </w:rPr>
      </w:pPr>
    </w:p>
    <w:p w14:paraId="1C56FF9E" w14:textId="50990586" w:rsidR="00604F28" w:rsidRDefault="00604F28" w:rsidP="004034A2">
      <w:pPr>
        <w:rPr>
          <w:rFonts w:cs="Times New Roman"/>
          <w:b/>
          <w:szCs w:val="20"/>
        </w:rPr>
      </w:pPr>
    </w:p>
    <w:p w14:paraId="6E60336F" w14:textId="77777777" w:rsidR="00604F28" w:rsidRDefault="00604F28" w:rsidP="004034A2">
      <w:pPr>
        <w:rPr>
          <w:rFonts w:cs="Times New Roman"/>
          <w:b/>
          <w:szCs w:val="20"/>
        </w:rPr>
        <w:sectPr w:rsidR="00604F28" w:rsidSect="00604F2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DAC261F" w14:textId="04754616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7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604F28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604F28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604F28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604F2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604F28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604F2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604F2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604F28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604F28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604F28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604F28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604F28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604F28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604F28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604F28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604F28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604F28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604F28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604F28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604F28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604F28" w:rsidRDefault="00604F28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604F28" w:rsidRDefault="0060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04F28" w:rsidRPr="00437B01" w:rsidRDefault="002E27FC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604F28" w:rsidRPr="00437B01">
          <w:rPr>
            <w:rFonts w:cs="Times New Roman"/>
            <w:sz w:val="16"/>
            <w:szCs w:val="16"/>
          </w:rPr>
          <w:fldChar w:fldCharType="begin"/>
        </w:r>
        <w:r w:rsidR="00604F28" w:rsidRPr="00437B01">
          <w:rPr>
            <w:rFonts w:cs="Times New Roman"/>
            <w:sz w:val="16"/>
            <w:szCs w:val="16"/>
          </w:rPr>
          <w:instrText>PAGE   \* MERGEFORMAT</w:instrText>
        </w:r>
        <w:r w:rsidR="00604F28" w:rsidRPr="00437B01">
          <w:rPr>
            <w:rFonts w:cs="Times New Roman"/>
            <w:sz w:val="16"/>
            <w:szCs w:val="16"/>
          </w:rPr>
          <w:fldChar w:fldCharType="separate"/>
        </w:r>
        <w:r w:rsidR="00604F28" w:rsidRPr="00437B01">
          <w:rPr>
            <w:rFonts w:cs="Times New Roman"/>
            <w:sz w:val="16"/>
            <w:szCs w:val="16"/>
          </w:rPr>
          <w:t>2</w:t>
        </w:r>
        <w:r w:rsidR="00604F28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604F28" w:rsidRPr="00437B01">
      <w:rPr>
        <w:rFonts w:cs="Times New Roman"/>
        <w:sz w:val="16"/>
        <w:szCs w:val="16"/>
      </w:rPr>
      <w:t xml:space="preserve"> </w:t>
    </w:r>
  </w:p>
  <w:p w14:paraId="6EF5EEEF" w14:textId="77777777" w:rsidR="00604F28" w:rsidRDefault="00604F28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604F28" w:rsidRDefault="00604F28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604F28" w:rsidRDefault="00604F28">
      <w:pPr>
        <w:spacing w:after="0" w:line="240" w:lineRule="auto"/>
      </w:pPr>
      <w:r>
        <w:continuationSeparator/>
      </w:r>
    </w:p>
  </w:footnote>
  <w:footnote w:id="1">
    <w:p w14:paraId="1E299094" w14:textId="77777777" w:rsidR="00604F28" w:rsidRDefault="00604F28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604F28" w:rsidRPr="00986725" w:rsidRDefault="00604F28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604F28" w:rsidRDefault="00604F28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604F28" w:rsidRDefault="00604F2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04F28" w:rsidRDefault="00604F2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3CE5"/>
    <w:rsid w:val="000212B8"/>
    <w:rsid w:val="000228A5"/>
    <w:rsid w:val="000247A7"/>
    <w:rsid w:val="00052BA3"/>
    <w:rsid w:val="00053800"/>
    <w:rsid w:val="00086292"/>
    <w:rsid w:val="000C7CA4"/>
    <w:rsid w:val="000E590D"/>
    <w:rsid w:val="000F621C"/>
    <w:rsid w:val="00112D17"/>
    <w:rsid w:val="001453E7"/>
    <w:rsid w:val="00147295"/>
    <w:rsid w:val="00171BA3"/>
    <w:rsid w:val="001940AA"/>
    <w:rsid w:val="001972E9"/>
    <w:rsid w:val="001B65D1"/>
    <w:rsid w:val="001C715F"/>
    <w:rsid w:val="001D0638"/>
    <w:rsid w:val="001D2B58"/>
    <w:rsid w:val="001D7413"/>
    <w:rsid w:val="001F3CA7"/>
    <w:rsid w:val="001F66A2"/>
    <w:rsid w:val="00217A8D"/>
    <w:rsid w:val="00233B7C"/>
    <w:rsid w:val="002505EA"/>
    <w:rsid w:val="00262D9A"/>
    <w:rsid w:val="0029719A"/>
    <w:rsid w:val="002A5840"/>
    <w:rsid w:val="002E27FC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4F2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6E1AF6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9689D"/>
    <w:rsid w:val="008B6A69"/>
    <w:rsid w:val="008E6073"/>
    <w:rsid w:val="00962B28"/>
    <w:rsid w:val="00995E9F"/>
    <w:rsid w:val="0099614C"/>
    <w:rsid w:val="009A29DF"/>
    <w:rsid w:val="009A6E1F"/>
    <w:rsid w:val="009C4572"/>
    <w:rsid w:val="00A2571D"/>
    <w:rsid w:val="00A2710A"/>
    <w:rsid w:val="00A2782D"/>
    <w:rsid w:val="00A60C13"/>
    <w:rsid w:val="00A67492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2E0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4657"/>
    <w:rsid w:val="00C9584A"/>
    <w:rsid w:val="00C95B0C"/>
    <w:rsid w:val="00CC5FFA"/>
    <w:rsid w:val="00CD10AD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DF4EEA"/>
    <w:rsid w:val="00E46665"/>
    <w:rsid w:val="00E673BB"/>
    <w:rsid w:val="00E85F88"/>
    <w:rsid w:val="00E94804"/>
    <w:rsid w:val="00ED380B"/>
    <w:rsid w:val="00EF4DDC"/>
    <w:rsid w:val="00F06049"/>
    <w:rsid w:val="00F4604A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8F91-1D91-4048-A120-DEF76B2A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12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125</cp:revision>
  <dcterms:created xsi:type="dcterms:W3CDTF">2023-10-19T12:36:00Z</dcterms:created>
  <dcterms:modified xsi:type="dcterms:W3CDTF">2024-10-14T06:31:00Z</dcterms:modified>
</cp:coreProperties>
</file>