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065"/>
      </w:tblGrid>
      <w:tr w:rsidR="003601F3" w:rsidRPr="007173AF" w14:paraId="7D6906DF" w14:textId="77777777" w:rsidTr="003601F3">
        <w:trPr>
          <w:trHeight w:val="1258"/>
        </w:trPr>
        <w:tc>
          <w:tcPr>
            <w:tcW w:w="10490" w:type="dxa"/>
            <w:gridSpan w:val="2"/>
          </w:tcPr>
          <w:p w14:paraId="7DA46491" w14:textId="77777777" w:rsidR="009B7F17" w:rsidRPr="007173AF" w:rsidRDefault="009B7F17" w:rsidP="009B7F17">
            <w:pPr>
              <w:pStyle w:val="ConsPlusNormal"/>
              <w:spacing w:line="276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заявок на участие в </w:t>
            </w:r>
            <w:r w:rsidR="00416473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, их содержание и значимость.</w:t>
            </w:r>
          </w:p>
          <w:p w14:paraId="26B2FE05" w14:textId="77777777" w:rsidR="009B7F17" w:rsidRPr="007173AF" w:rsidRDefault="009B7F17" w:rsidP="009B7F17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(показатели, содержание, значимость, порядок оценки).</w:t>
            </w:r>
          </w:p>
          <w:p w14:paraId="3BC7DCA9" w14:textId="77777777" w:rsidR="009B7F17" w:rsidRPr="007173AF" w:rsidRDefault="009B7F17" w:rsidP="009B7F17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оценки заявок заказчик устанавливает в документации о закупке следующие критерии оценки:</w:t>
            </w:r>
          </w:p>
        </w:tc>
      </w:tr>
      <w:tr w:rsidR="003601F3" w:rsidRPr="007173AF" w14:paraId="038B4FBE" w14:textId="77777777" w:rsidTr="000E5739">
        <w:trPr>
          <w:trHeight w:val="6769"/>
        </w:trPr>
        <w:tc>
          <w:tcPr>
            <w:tcW w:w="425" w:type="dxa"/>
          </w:tcPr>
          <w:p w14:paraId="4139A427" w14:textId="77777777" w:rsidR="00775DD9" w:rsidRPr="007173AF" w:rsidRDefault="00D47217" w:rsidP="005B123C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065" w:type="dxa"/>
          </w:tcPr>
          <w:p w14:paraId="5B5B51D8" w14:textId="77777777" w:rsidR="00775DD9" w:rsidRPr="007173AF" w:rsidRDefault="00775DD9" w:rsidP="005B123C">
            <w:pPr>
              <w:widowControl w:val="0"/>
              <w:tabs>
                <w:tab w:val="left" w:pos="21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договора.</w:t>
            </w:r>
          </w:p>
          <w:p w14:paraId="595FB7F7" w14:textId="77777777" w:rsidR="00775DD9" w:rsidRPr="007173AF" w:rsidRDefault="00775DD9" w:rsidP="005B123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Значимость: </w:t>
            </w:r>
            <w:r w:rsidR="00826408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0 % (коэффициент значимости критерия 0,</w:t>
            </w:r>
            <w:r w:rsidR="00826408"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3</w:t>
            </w:r>
            <w:r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) </w:t>
            </w:r>
          </w:p>
          <w:p w14:paraId="4821592B" w14:textId="3FC42B0B" w:rsidR="00775DD9" w:rsidRPr="007173AF" w:rsidRDefault="00775DD9" w:rsidP="005B123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Содержание: </w:t>
            </w:r>
            <w:r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Начальная (максимальная) цена договора включает в себя все затраты, издержки и иные </w:t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</w:t>
            </w:r>
            <w:r w:rsid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Генп</w:t>
            </w:r>
            <w:r w:rsidR="00970986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одрядчика</w:t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в том числе сопутствующие, связанные с исполнением настоящего Договора</w:t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текущих ценах с учетом НДС и процента снижения</w:t>
            </w:r>
            <w:r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. </w:t>
            </w:r>
            <w:r w:rsidR="003B596C"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Количество баллов</w:t>
            </w:r>
            <w:r w:rsidRPr="007173A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участника по данному критерию определяется исходя из сравнения цены договора, предложенной участниками закупки. При оценке заявок по данному критерию лучшим условием исполнения договора признается предложение участника с наименьшей ценой договора. </w:t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если в заявке участника закупки указана цена договора, превышающая начальную (максимальную) цену, заявка такого участника отклоняется как не соответствующая требованиям документации, другие показатели заявки не рассматриваются.</w:t>
            </w:r>
          </w:p>
          <w:p w14:paraId="4266A9AD" w14:textId="77777777" w:rsidR="00775DD9" w:rsidRPr="007173AF" w:rsidRDefault="00775DD9" w:rsidP="005B123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баллов, присуждаемых по критерию оценки "цена договора" (</w:t>
            </w:r>
            <w:r w:rsidRPr="007173A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29A9EF" wp14:editId="5E6901E0">
                  <wp:extent cx="27622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определяется по формуле:</w:t>
            </w:r>
          </w:p>
          <w:p w14:paraId="778830A1" w14:textId="77777777" w:rsidR="00775DD9" w:rsidRPr="007173AF" w:rsidRDefault="00775DD9" w:rsidP="005B123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7D79D639" wp14:editId="461C3F78">
                  <wp:extent cx="1038225" cy="4381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3EBE8813" w14:textId="77777777" w:rsidR="00775DD9" w:rsidRPr="007173AF" w:rsidRDefault="00775DD9" w:rsidP="005B123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где:</w:t>
            </w:r>
          </w:p>
          <w:p w14:paraId="2E7716D9" w14:textId="77777777" w:rsidR="00775DD9" w:rsidRPr="007173AF" w:rsidRDefault="00775DD9" w:rsidP="005B123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4BBB4B0" wp14:editId="700F9276">
                  <wp:extent cx="200025" cy="2286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предложение участника закупки, заявка (предложение) которого оценивается;</w:t>
            </w:r>
          </w:p>
          <w:p w14:paraId="29B4436C" w14:textId="77777777" w:rsidR="00775DD9" w:rsidRPr="007173AF" w:rsidRDefault="00775DD9" w:rsidP="005B123C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2072A07F" wp14:editId="6883E3B4">
                  <wp:extent cx="32385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3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минимальное предложение из предложений по критерию оценки, сделанных участниками закупки.</w:t>
            </w:r>
          </w:p>
        </w:tc>
      </w:tr>
      <w:tr w:rsidR="003601F3" w:rsidRPr="007173AF" w14:paraId="502BAACD" w14:textId="77777777" w:rsidTr="003601F3">
        <w:tc>
          <w:tcPr>
            <w:tcW w:w="425" w:type="dxa"/>
          </w:tcPr>
          <w:p w14:paraId="127EE6C5" w14:textId="77777777" w:rsidR="00775DD9" w:rsidRPr="007173AF" w:rsidRDefault="00CF6446" w:rsidP="005B123C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065" w:type="dxa"/>
          </w:tcPr>
          <w:p w14:paraId="2967D6A1" w14:textId="77777777" w:rsidR="00775DD9" w:rsidRPr="007173AF" w:rsidRDefault="00775DD9" w:rsidP="005B123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участников</w:t>
            </w:r>
          </w:p>
          <w:p w14:paraId="0FA1A7C5" w14:textId="77777777" w:rsidR="00775DD9" w:rsidRPr="007173AF" w:rsidRDefault="00775DD9" w:rsidP="005B123C">
            <w:pPr>
              <w:spacing w:after="0"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Значимость: </w:t>
            </w:r>
            <w:r w:rsidR="00AA2FA2"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70</w:t>
            </w:r>
            <w:r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% (коэффициент значимости критерия 0,</w:t>
            </w:r>
            <w:r w:rsidR="00AA2FA2"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  <w:r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14:paraId="47ADFCC5" w14:textId="77777777" w:rsidR="00775DD9" w:rsidRPr="007173AF" w:rsidRDefault="00775DD9" w:rsidP="005B123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717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Подтверждение </w:t>
            </w:r>
            <w:r w:rsidR="00DE3C4F" w:rsidRPr="00717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наличия финансовых ресурсов, </w:t>
            </w:r>
            <w:r w:rsidRPr="00717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опыта работы участника закупки на рынке оказания услуг, аналогичных предмету закупки, квалификация </w:t>
            </w:r>
            <w:r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трудовых ресурсов (руководителей и ключевых специалистов), предлагаемых для оказания услуг</w:t>
            </w:r>
            <w:r w:rsidR="00B630AA"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14:paraId="78C6E0FD" w14:textId="77777777" w:rsidR="00775DD9" w:rsidRPr="007173AF" w:rsidRDefault="00775DD9" w:rsidP="005B12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Порядок оценки: при оценке заявок по данному критерию лучшим условием исполнения договора по указанному критерию признается предложение участника, набравшего наибольшее количество баллов по данному критерию. </w:t>
            </w:r>
          </w:p>
          <w:p w14:paraId="00B2386F" w14:textId="77777777" w:rsidR="00775DD9" w:rsidRPr="007173AF" w:rsidRDefault="00775DD9" w:rsidP="005B12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Сумма величин значимости показателей критерия оценки должна составлять 100 процентов.</w:t>
            </w:r>
          </w:p>
        </w:tc>
      </w:tr>
      <w:tr w:rsidR="003601F3" w:rsidRPr="007173AF" w14:paraId="10A2C4E8" w14:textId="77777777" w:rsidTr="000E5739">
        <w:trPr>
          <w:trHeight w:val="4849"/>
        </w:trPr>
        <w:tc>
          <w:tcPr>
            <w:tcW w:w="425" w:type="dxa"/>
          </w:tcPr>
          <w:p w14:paraId="36446852" w14:textId="77777777" w:rsidR="007460B8" w:rsidRPr="007173AF" w:rsidRDefault="00A81CC9" w:rsidP="005B123C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10065" w:type="dxa"/>
          </w:tcPr>
          <w:p w14:paraId="7962DBAA" w14:textId="77777777" w:rsidR="007460B8" w:rsidRPr="007173AF" w:rsidRDefault="002623E3" w:rsidP="007460B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7460B8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«Наличие финансовых ресурсов». </w:t>
            </w:r>
          </w:p>
          <w:p w14:paraId="60920CB4" w14:textId="4AF1B2FF" w:rsidR="00B91FEE" w:rsidRPr="007173AF" w:rsidRDefault="00B91FEE" w:rsidP="00AA2F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значимости (КЗ) = </w:t>
            </w:r>
            <w:r w:rsidR="00C23D5B" w:rsidRPr="007173A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4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D5B" w:rsidRPr="0071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DFE50A5" w14:textId="01243C1E" w:rsidR="00B91FEE" w:rsidRPr="007173AF" w:rsidRDefault="00B91FEE" w:rsidP="00AA2F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по показателю – </w:t>
            </w:r>
            <w:r w:rsidR="00F14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D5B" w:rsidRPr="0071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14:paraId="0068C26E" w14:textId="24D4973E" w:rsidR="007460B8" w:rsidRPr="007173AF" w:rsidRDefault="007460B8" w:rsidP="00746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Оценке подлежит суммарная выручка участника закупки за</w:t>
            </w:r>
            <w:r w:rsidR="00B648BB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CBA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 w:rsidR="005F5971" w:rsidRPr="00717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601F3" w:rsidRPr="007173AF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год. Количество баллов, которые присваиваются заявке участника закупки, зависит от размера суммарной выручки участника закупки за годовой отчетный период, подтвержденной участником закупки документально. В качестве документов, подтверждающих размер выручки, должны быть предоставлены копии форм № 1 «Бухгалтерский баланс» и форм № 2 «Отчет о прибылях и убытках (финансовых результ</w:t>
            </w:r>
            <w:r w:rsidR="00B84930" w:rsidRPr="007173AF">
              <w:rPr>
                <w:rFonts w:ascii="Times New Roman" w:hAnsi="Times New Roman" w:cs="Times New Roman"/>
                <w:sz w:val="24"/>
                <w:szCs w:val="24"/>
              </w:rPr>
              <w:t>атах)» (код стро</w:t>
            </w:r>
            <w:r w:rsidR="005F5971" w:rsidRPr="007173AF">
              <w:rPr>
                <w:rFonts w:ascii="Times New Roman" w:hAnsi="Times New Roman" w:cs="Times New Roman"/>
                <w:sz w:val="24"/>
                <w:szCs w:val="24"/>
              </w:rPr>
              <w:t>ки 2110) за</w:t>
            </w:r>
            <w:r w:rsidR="001F796C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2021,</w:t>
            </w:r>
            <w:r w:rsidR="005F5971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01F3" w:rsidRPr="007173AF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год с отметкой налогового органа. Заявке участника закупки, который не представит подтверждающие документы, будет присвоена оценка в 0 баллов. Сведения предоставляются в </w:t>
            </w:r>
            <w:r w:rsidR="00DC05FA" w:rsidRPr="007173AF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B648BB" w:rsidRPr="00717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C4F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подачи коллективной заявки учитывается сумма представленных показателей участников.</w:t>
            </w:r>
          </w:p>
          <w:p w14:paraId="4DF7AC6F" w14:textId="77777777" w:rsidR="007460B8" w:rsidRPr="007173AF" w:rsidRDefault="007460B8" w:rsidP="00746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присуждаемых по данному показателю (НЦФi), определяется по формуле: НЦФi = КЗ*100*(Ki / Kmax), </w:t>
            </w:r>
          </w:p>
          <w:p w14:paraId="319EFA30" w14:textId="77777777" w:rsidR="007460B8" w:rsidRPr="007173AF" w:rsidRDefault="007460B8" w:rsidP="00746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где: КЗ - коэффициент значимости показателя; </w:t>
            </w:r>
          </w:p>
          <w:p w14:paraId="3AF0DFD3" w14:textId="77777777" w:rsidR="007460B8" w:rsidRPr="007173AF" w:rsidRDefault="007460B8" w:rsidP="00746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Ki - предложение участника закупки, заявка которого оценивается; </w:t>
            </w:r>
          </w:p>
          <w:p w14:paraId="45C77A11" w14:textId="77777777" w:rsidR="007460B8" w:rsidRPr="007173AF" w:rsidRDefault="007460B8" w:rsidP="007460B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Kmax - максимальное предложение из предложений по показателю, сделанных участниками закупки.</w:t>
            </w:r>
          </w:p>
        </w:tc>
      </w:tr>
      <w:tr w:rsidR="003601F3" w:rsidRPr="007173AF" w14:paraId="497B71F9" w14:textId="77777777" w:rsidTr="00A01D3B">
        <w:trPr>
          <w:trHeight w:val="1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CE1" w14:textId="77777777" w:rsidR="00775DD9" w:rsidRPr="007173AF" w:rsidRDefault="00A81CC9" w:rsidP="00D31F4A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134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Показатель «Опыт участника по успешной поставке товаров, выполнению работ, оказанию услуг сопоставимого характера и объема». </w:t>
            </w:r>
          </w:p>
          <w:p w14:paraId="5BAFD68D" w14:textId="20505D68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4B4E2A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оэффициент значимости (КЗ) = </w:t>
            </w:r>
            <w:r w:rsidR="00AA2FA2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9E4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14:paraId="03C6D96F" w14:textId="29BE8F06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</w:t>
            </w:r>
            <w:r w:rsidR="004B4E2A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мальная оценка по показателю – </w:t>
            </w:r>
            <w:r w:rsidR="009E4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AA2FA2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баллов.</w:t>
            </w:r>
          </w:p>
          <w:p w14:paraId="7E90349D" w14:textId="74FA1539" w:rsidR="00716E87" w:rsidRPr="007173AF" w:rsidRDefault="00716E87" w:rsidP="00716E8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Контрактами (договорами) сопоставимого характера будут считаться контракты (договоры) на выполнение </w:t>
            </w:r>
            <w:r w:rsidR="00550435">
              <w:rPr>
                <w:rFonts w:ascii="Times New Roman" w:hAnsi="Times New Roman" w:cs="Times New Roman"/>
                <w:sz w:val="24"/>
                <w:szCs w:val="24"/>
              </w:rPr>
              <w:t>комплекса работ по благоустройству территорий в пределах г. Москвы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, содержащие сведения о стоимости работ</w:t>
            </w:r>
            <w:r w:rsidR="00830436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="006664F7" w:rsidRPr="007173A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, без нарушений сроков и иных нарушений условий контракта (договора) по вине участника</w:t>
            </w:r>
            <w:r w:rsidR="00830436" w:rsidRPr="0071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3F5B33" w14:textId="5CA0580F" w:rsidR="00716E87" w:rsidRPr="007173AF" w:rsidRDefault="00716E87" w:rsidP="00716E8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  <w:r w:rsidR="00862F70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F70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(документально подтверждённая)</w:t>
            </w:r>
            <w:r w:rsidR="005F1579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4006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договорам</w:t>
            </w:r>
            <w:r w:rsidR="005F1579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400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заключенным</w:t>
            </w:r>
            <w:r w:rsidR="00862F70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 с </w:t>
            </w:r>
            <w:r w:rsidR="00410CBA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173AF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0CBA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F70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92C14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Федерального закона от 18.07.2011 № 223-ФЗ «О закупках товаров, работ, услуг отдельными видами юридических лиц» (далее – Закон о закупках)</w:t>
            </w:r>
            <w:r w:rsidR="007173AF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2C14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(Закон о контрактной системе)</w:t>
            </w:r>
            <w:r w:rsidR="007173AF"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иным договорам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, без нарушения сроков и иных условий контракта/договора по вине участника закупки. </w:t>
            </w:r>
          </w:p>
          <w:p w14:paraId="01651023" w14:textId="11513202" w:rsidR="007173AF" w:rsidRPr="007173AF" w:rsidRDefault="007173AF" w:rsidP="007173A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учитываются </w:t>
            </w:r>
            <w:r w:rsidR="008578E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выполненных работ по 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857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/договор</w:t>
            </w:r>
            <w:r w:rsidR="00857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, стоимость </w:t>
            </w:r>
            <w:r w:rsidR="008578E7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отдельному договору (контракту) составляет не менее </w:t>
            </w:r>
            <w:r w:rsidR="00A760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0 000 000 рублей, </w:t>
            </w:r>
            <w:r w:rsidR="00A502E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и 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принятых за период с 2021 года.</w:t>
            </w:r>
          </w:p>
          <w:p w14:paraId="330B6281" w14:textId="1D28D2D4" w:rsidR="007173AF" w:rsidRPr="007173AF" w:rsidRDefault="007173AF" w:rsidP="00716E8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B096" w14:textId="00F5F399" w:rsidR="00716E87" w:rsidRPr="007173AF" w:rsidRDefault="00716E87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опыта участника закупки подтверждаются: копиями контрактов/договоров и актами выполненных работ, содержащих сведения о стоимости выполненных работ, сведениями из реестра и/или выписками из карточки контракта/договора в реестре контрактов/договоров, заключенных с участником и опубликованных на официальном сайте </w:t>
            </w:r>
            <w:hyperlink r:id="rId12" w:history="1">
              <w:r w:rsidRPr="007173A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, содержащих сведения о стоимости выполненных работ</w:t>
            </w:r>
            <w:r w:rsidR="000E1370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</w:t>
            </w:r>
            <w:r w:rsidR="00291979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173AF" w:rsidRPr="007173AF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="00396535" w:rsidRPr="00717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7F2EA0" w14:textId="77777777" w:rsidR="000E40AA" w:rsidRPr="007173AF" w:rsidRDefault="000E40AA" w:rsidP="0071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5E5B" w14:textId="77777777" w:rsidR="00C26DDE" w:rsidRPr="007173AF" w:rsidRDefault="00B045CC" w:rsidP="00C26DD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Непредставление в составе заявки на участие таких документов не является основанием для отказа в допуске к участию,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участие, </w:t>
            </w:r>
            <w:r w:rsidR="00775DD9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заполненной </w:t>
            </w:r>
            <w:r w:rsidR="00C26DDE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формой «Справка о перечне и объемах выполнения договоров»</w:t>
            </w:r>
            <w:r w:rsidR="00CD2393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CD2393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Критериям оценки заявок)</w:t>
            </w:r>
            <w:r w:rsidR="00C26DDE"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D2CA5AB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Порядок оценки: </w:t>
            </w:r>
          </w:p>
          <w:p w14:paraId="14DC7E72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баллов, присуждаемых по показателю (НЦБi), определяется по формуле:</w:t>
            </w:r>
          </w:p>
          <w:p w14:paraId="69EB8F69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C359BE" wp14:editId="2F569056">
                  <wp:extent cx="177165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0CE9B199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где:</w:t>
            </w:r>
          </w:p>
          <w:p w14:paraId="7C4EF71F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КЗ - коэффициент значимости показателя.</w:t>
            </w:r>
          </w:p>
          <w:p w14:paraId="7C6B5778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Кi  - предложение участника закупки, заявка (предложение) которого оценивается;</w:t>
            </w:r>
          </w:p>
          <w:p w14:paraId="3D07967F" w14:textId="77777777" w:rsidR="00775DD9" w:rsidRPr="007173AF" w:rsidRDefault="00775DD9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Кmax - максимальное предложение из предложений по показателю оценки, сделанных участниками закупки.</w:t>
            </w:r>
          </w:p>
          <w:p w14:paraId="6725625F" w14:textId="77777777" w:rsidR="00E93A06" w:rsidRPr="007173AF" w:rsidRDefault="00E93A06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3BC75B" w14:textId="77777777" w:rsidR="00E93A06" w:rsidRPr="007173AF" w:rsidRDefault="00E93A06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Оценка в 0 баллов будет присвоена: участнику, который не имеет опыта сопоставимого характера и объема; участнику, который не представил в составе своей заявки сведений о наличии опыта по успешному выполнению работ сопоставимого характера и объема за указанный период, либо представил сведения, содержащие не все требуемые данные, указанные в показателе; участнику закупки, который не представил в составе своей заявки документы (копии документов), подтверждающие предоставленные сведения о наличии опыта по успешному выполнению работ (оказанию услуг) сопоставимого характера и объема за указанный в показателе период.</w:t>
            </w:r>
          </w:p>
          <w:p w14:paraId="305BB6AA" w14:textId="77777777" w:rsidR="00A01D3B" w:rsidRPr="007173AF" w:rsidRDefault="00A01D3B" w:rsidP="00775DD9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01F3" w:rsidRPr="007173AF" w14:paraId="2EEC4BB0" w14:textId="77777777" w:rsidTr="003601F3">
        <w:trPr>
          <w:trHeight w:val="10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B9C" w14:textId="77777777" w:rsidR="002623E3" w:rsidRPr="007173AF" w:rsidRDefault="00A81CC9" w:rsidP="00D31F4A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173AF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476" w14:textId="77777777" w:rsidR="002C68F6" w:rsidRPr="007173AF" w:rsidRDefault="002C68F6" w:rsidP="002C68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«Обеспеченность кадровыми ресурсами (количество и квалификация)» </w:t>
            </w:r>
          </w:p>
          <w:p w14:paraId="13EE8C9B" w14:textId="5E4BAD5B" w:rsidR="002C68F6" w:rsidRPr="007173AF" w:rsidRDefault="002C68F6" w:rsidP="002C68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(КЗ) = 0,</w:t>
            </w:r>
            <w:r w:rsidR="00AD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94D074" w14:textId="62732F83" w:rsidR="002C68F6" w:rsidRPr="007173AF" w:rsidRDefault="002C68F6" w:rsidP="002C68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по показателю – </w:t>
            </w:r>
            <w:r w:rsidR="00AD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FA2"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баллов.</w:t>
            </w:r>
          </w:p>
          <w:p w14:paraId="050DCA2F" w14:textId="39BED3AD" w:rsidR="00B648BB" w:rsidRPr="007173AF" w:rsidRDefault="00B648BB" w:rsidP="002C68F6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Оценивается предложение участника по количеству сотрудников, состоящих в штате организации, имеющих высшее профессиональное образование с присвоением квалификации «</w:t>
            </w:r>
            <w:r w:rsidR="00316089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нженер» в област</w:t>
            </w:r>
            <w:r w:rsidR="00DE3C4F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строительства/проектирования 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или с присвоением квалификации</w:t>
            </w:r>
            <w:r w:rsidR="00316089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«бакалавр» или «магистр» по направлениям под</w:t>
            </w:r>
            <w:r w:rsidR="00354CB9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готовки в области строительства и (или) 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проектирования.</w:t>
            </w:r>
          </w:p>
          <w:p w14:paraId="7D1230F5" w14:textId="77777777" w:rsidR="00AB2AA1" w:rsidRPr="007173AF" w:rsidRDefault="002C68F6" w:rsidP="002C68F6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качестве документов, подтверждающих количество специалистов, должны быть предоставлены копии дипломов о высшем образовании специалистов, а также копии трудовых книжек и/или трудовых договоров, а в случае ведения электронных трудовых книжек – сведения о трудовой деятельности зарегистрированного лица по форме </w:t>
            </w:r>
            <w:r w:rsidR="008C7CB6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СТД-Р (СТД-ПФР)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заверенные подписью руководителя или доверенного лица и печатью организации (при наличии).</w:t>
            </w:r>
          </w:p>
          <w:p w14:paraId="4B87CAB6" w14:textId="5F80C781" w:rsidR="002C68F6" w:rsidRPr="007173AF" w:rsidRDefault="002C68F6" w:rsidP="002C68F6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Заявке участника закупки, который не представит подтверждающие документы, будет присвоена оценка в 0 баллов. Лучшим условием </w:t>
            </w:r>
            <w:r w:rsidR="00354CB9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предложением 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показателю является наибольшее количество специалистов участника закупки с наличием высшего </w:t>
            </w:r>
            <w:r w:rsidR="00354CB9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профессионального образования с присвоением квалификации «Инженер» в област</w:t>
            </w:r>
            <w:r w:rsidR="00DE3C4F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строительства/проектирования </w:t>
            </w:r>
            <w:r w:rsidR="00354CB9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или с присвоением квалификации «бакалавр» или «магистр» по направлениям подготовки в области строительства и (или) проектирования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подтвержденных участником документально</w:t>
            </w:r>
            <w:r w:rsidR="00AA2FA2"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37882A2" w14:textId="77777777" w:rsidR="002C68F6" w:rsidRPr="007173AF" w:rsidRDefault="002C68F6" w:rsidP="002C68F6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предоставляются в любой удобной форме или в соответствии с рекомендованной заказчиком формой, приведенной в </w:t>
            </w:r>
            <w:r w:rsidR="00CD2393" w:rsidRPr="007173AF">
              <w:rPr>
                <w:rFonts w:ascii="Times New Roman" w:hAnsi="Times New Roman" w:cs="Times New Roman"/>
                <w:sz w:val="24"/>
                <w:szCs w:val="24"/>
              </w:rPr>
              <w:t>Приложении № 1 к Критериям оценки заявок</w:t>
            </w: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31384483" w14:textId="77777777" w:rsidR="00AA2FA2" w:rsidRPr="007173AF" w:rsidRDefault="00AA2FA2" w:rsidP="00AA2FA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(НЦБi), определяется по формуле:</w:t>
            </w:r>
          </w:p>
          <w:p w14:paraId="56A93041" w14:textId="77777777" w:rsidR="00AA2FA2" w:rsidRPr="007173AF" w:rsidRDefault="00AA2FA2" w:rsidP="00AA2FA2">
            <w:pPr>
              <w:spacing w:after="0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НЦБi = КЗ x 100 x (Кi / Кmax), </w:t>
            </w:r>
          </w:p>
          <w:p w14:paraId="33ACFF36" w14:textId="77777777" w:rsidR="00AA2FA2" w:rsidRPr="007173AF" w:rsidRDefault="00AA2FA2" w:rsidP="00AA2FA2">
            <w:pPr>
              <w:spacing w:after="17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78D0B" w14:textId="77777777" w:rsidR="00AA2FA2" w:rsidRPr="007173AF" w:rsidRDefault="00AA2FA2" w:rsidP="00AA2FA2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14:paraId="187A8AFB" w14:textId="77777777" w:rsidR="00AA2FA2" w:rsidRPr="007173AF" w:rsidRDefault="00AA2FA2" w:rsidP="00AA2FA2">
            <w:pPr>
              <w:spacing w:after="0" w:line="240" w:lineRule="auto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КЗ - коэффициент значимости показателя; </w:t>
            </w:r>
          </w:p>
          <w:p w14:paraId="30328A90" w14:textId="3E1E6E30" w:rsidR="00AA2FA2" w:rsidRPr="007173AF" w:rsidRDefault="00AA2FA2" w:rsidP="00AA2FA2">
            <w:pPr>
              <w:spacing w:after="0" w:line="240" w:lineRule="auto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hAnsi="Times New Roman" w:cs="Times New Roman"/>
                <w:sz w:val="24"/>
                <w:szCs w:val="24"/>
              </w:rPr>
              <w:t xml:space="preserve">Кi - предложение участника закупки по показателю «Наличие квалифицированных специалистов»; </w:t>
            </w:r>
          </w:p>
          <w:p w14:paraId="1DFA85D0" w14:textId="77777777" w:rsidR="002623E3" w:rsidRPr="007173AF" w:rsidRDefault="00AA2FA2" w:rsidP="00AA2FA2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7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Кmax - максимальное предложение участника закупки по показателю «Наличие квалифицированных специалистов».</w:t>
            </w:r>
          </w:p>
        </w:tc>
      </w:tr>
      <w:tr w:rsidR="003601F3" w:rsidRPr="007173AF" w14:paraId="7E06D24A" w14:textId="77777777" w:rsidTr="007173AF">
        <w:trPr>
          <w:trHeight w:val="28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196" w14:textId="77777777" w:rsidR="00775DD9" w:rsidRPr="007173AF" w:rsidRDefault="00775DD9" w:rsidP="005B123C">
            <w:pPr>
              <w:pStyle w:val="ConsPlusNormal"/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862" w14:textId="77777777" w:rsidR="00775DD9" w:rsidRPr="007173AF" w:rsidRDefault="00775DD9" w:rsidP="005B123C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Показатели, по которым отсутствуют предложения, оцениваются нулевым количеством баллов.</w:t>
            </w:r>
          </w:p>
          <w:p w14:paraId="178F969E" w14:textId="77777777" w:rsidR="00775DD9" w:rsidRPr="007173AF" w:rsidRDefault="00775DD9" w:rsidP="005B123C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оценки заявки на участие в закупке осуществляется расчет итогового </w:t>
            </w:r>
            <w:r w:rsidR="003B596C"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количества баллов</w:t>
            </w: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каждой заявке на участие в закупке. </w:t>
            </w:r>
          </w:p>
          <w:p w14:paraId="7A91FC05" w14:textId="77777777" w:rsidR="00775DD9" w:rsidRPr="007173AF" w:rsidRDefault="00775DD9" w:rsidP="005B123C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  <w:r w:rsidR="0016575C"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ое</w:t>
            </w: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6575C"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заявки на участие в закупке вычисляется как сумма </w:t>
            </w:r>
            <w:r w:rsidR="003B596C"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баллов </w:t>
            </w: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каждому критерию оценки заявки на участие в закупке.</w:t>
            </w:r>
          </w:p>
          <w:p w14:paraId="4D7E36BD" w14:textId="77777777" w:rsidR="00775DD9" w:rsidRPr="007173AF" w:rsidRDefault="00775DD9" w:rsidP="003B596C">
            <w:pPr>
              <w:suppressAutoHyphens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Победителем признается участник закупки, заявке которого присвоен</w:t>
            </w:r>
            <w:r w:rsidR="003B596C"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B596C"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наибольшее количество баллов</w:t>
            </w: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Заявке такого участника закупки присваивается первый порядковый номер.</w:t>
            </w:r>
          </w:p>
        </w:tc>
      </w:tr>
    </w:tbl>
    <w:p w14:paraId="66BE54B8" w14:textId="77777777" w:rsidR="003E3DB6" w:rsidRPr="007173AF" w:rsidRDefault="003E3DB6" w:rsidP="003601F3">
      <w:pPr>
        <w:spacing w:after="0"/>
        <w:contextualSpacing/>
        <w:rPr>
          <w:rFonts w:ascii="Times New Roman" w:hAnsi="Times New Roman" w:cs="Times New Roman"/>
          <w:b/>
        </w:rPr>
      </w:pPr>
    </w:p>
    <w:p w14:paraId="2EC51027" w14:textId="77777777" w:rsidR="003E3DB6" w:rsidRPr="007173AF" w:rsidRDefault="003E3DB6" w:rsidP="003E3DB6">
      <w:pPr>
        <w:spacing w:after="0"/>
        <w:contextualSpacing/>
        <w:jc w:val="right"/>
        <w:rPr>
          <w:rFonts w:ascii="Times New Roman" w:hAnsi="Times New Roman" w:cs="Times New Roman"/>
          <w:b/>
        </w:rPr>
        <w:sectPr w:rsidR="003E3DB6" w:rsidRPr="007173AF" w:rsidSect="003601F3">
          <w:type w:val="continuous"/>
          <w:pgSz w:w="11905" w:h="16838"/>
          <w:pgMar w:top="574" w:right="709" w:bottom="992" w:left="1418" w:header="0" w:footer="272" w:gutter="0"/>
          <w:cols w:space="720"/>
        </w:sectPr>
      </w:pPr>
    </w:p>
    <w:p w14:paraId="590984EE" w14:textId="77777777" w:rsidR="003E3DB6" w:rsidRPr="007173AF" w:rsidRDefault="003E3DB6" w:rsidP="003E3DB6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7173AF">
        <w:rPr>
          <w:rFonts w:ascii="Times New Roman" w:hAnsi="Times New Roman" w:cs="Times New Roman"/>
          <w:b/>
        </w:rPr>
        <w:lastRenderedPageBreak/>
        <w:t xml:space="preserve">Приложение №1 к </w:t>
      </w:r>
    </w:p>
    <w:p w14:paraId="5D3D735A" w14:textId="77777777" w:rsidR="003E3DB6" w:rsidRPr="007173AF" w:rsidRDefault="003E3DB6" w:rsidP="003E3DB6">
      <w:pPr>
        <w:framePr w:hSpace="180" w:wrap="around" w:vAnchor="text" w:hAnchor="page" w:x="1096" w:y="362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квалификации трудовых ресурсов (руководителей и ключевых специалистов), предлагаемых для выполнения работ</w:t>
      </w:r>
    </w:p>
    <w:p w14:paraId="197F3C2F" w14:textId="77777777" w:rsidR="003E3DB6" w:rsidRPr="007173AF" w:rsidRDefault="003E3DB6" w:rsidP="003E3DB6">
      <w:pPr>
        <w:framePr w:hSpace="180" w:wrap="around" w:vAnchor="text" w:hAnchor="page" w:x="1096" w:y="36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1348D8C" w14:textId="77777777" w:rsidR="003E3DB6" w:rsidRPr="007173AF" w:rsidRDefault="003E3DB6" w:rsidP="003E3DB6">
      <w:pPr>
        <w:framePr w:hSpace="180" w:wrap="around" w:vAnchor="text" w:hAnchor="page" w:x="1096" w:y="36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18270FB9" w14:textId="77777777" w:rsidR="003E3DB6" w:rsidRPr="007173AF" w:rsidRDefault="003E3DB6" w:rsidP="003E3DB6">
      <w:pPr>
        <w:framePr w:hSpace="180" w:wrap="around" w:vAnchor="text" w:hAnchor="page" w:x="1096" w:y="36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закупки)</w:t>
      </w:r>
    </w:p>
    <w:p w14:paraId="2D92FA35" w14:textId="77777777" w:rsidR="003E3DB6" w:rsidRPr="007173AF" w:rsidRDefault="003E3DB6" w:rsidP="003E3DB6">
      <w:pPr>
        <w:framePr w:hSpace="180" w:wrap="around" w:vAnchor="text" w:hAnchor="page" w:x="1096" w:y="362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свою квалификацию следующей информацией:</w:t>
      </w:r>
    </w:p>
    <w:p w14:paraId="7A95A076" w14:textId="77777777" w:rsidR="003E3DB6" w:rsidRPr="007173AF" w:rsidRDefault="003E3DB6" w:rsidP="003E3DB6">
      <w:pPr>
        <w:framePr w:hSpace="180" w:wrap="around" w:vAnchor="text" w:hAnchor="page" w:x="1096" w:y="362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9CD92" w14:textId="77777777" w:rsidR="003E3DB6" w:rsidRPr="007173AF" w:rsidRDefault="003E3DB6" w:rsidP="003E3DB6">
      <w:pPr>
        <w:framePr w:hSpace="180" w:wrap="around" w:vAnchor="text" w:hAnchor="page" w:x="1096" w:y="362"/>
        <w:widowControl w:val="0"/>
        <w:spacing w:after="240" w:line="278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трудовых ресурсов (руководителей и ключевых специалистов), предлагаемых для выполнения работ, оказания услуг.</w:t>
      </w:r>
    </w:p>
    <w:p w14:paraId="199039E0" w14:textId="1075979B" w:rsidR="003E3DB6" w:rsidRPr="007173AF" w:rsidRDefault="003E3DB6" w:rsidP="003E3DB6">
      <w:pPr>
        <w:framePr w:hSpace="180" w:wrap="around" w:vAnchor="text" w:hAnchor="page" w:x="1096" w:y="362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указываются сведения о количестве сотрудников (работников), </w:t>
      </w:r>
      <w:r w:rsidR="00A20B1D" w:rsidRPr="007173AF">
        <w:rPr>
          <w:rFonts w:ascii="Times New Roman" w:hAnsi="Times New Roman" w:cs="Times New Roman"/>
          <w:sz w:val="24"/>
          <w:szCs w:val="24"/>
        </w:rPr>
        <w:t>состоящих в штате организации, имеющих высшее профессиональное образование с присвоением квалификации «Инженер» в област</w:t>
      </w:r>
      <w:r w:rsidR="00DE3C4F" w:rsidRPr="007173AF">
        <w:rPr>
          <w:rFonts w:ascii="Times New Roman" w:hAnsi="Times New Roman" w:cs="Times New Roman"/>
          <w:sz w:val="24"/>
          <w:szCs w:val="24"/>
        </w:rPr>
        <w:t xml:space="preserve">и строительства/проектирования </w:t>
      </w:r>
      <w:r w:rsidR="00A20B1D" w:rsidRPr="007173AF">
        <w:rPr>
          <w:rFonts w:ascii="Times New Roman" w:hAnsi="Times New Roman" w:cs="Times New Roman"/>
          <w:sz w:val="24"/>
          <w:szCs w:val="24"/>
        </w:rPr>
        <w:t>или с присвоением квалификации «бакалавр» или «магистр» по направлениям подготовки в области строительства и (или) проектирования</w:t>
      </w: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2746"/>
        <w:gridCol w:w="6558"/>
        <w:gridCol w:w="4189"/>
      </w:tblGrid>
      <w:tr w:rsidR="003E3DB6" w:rsidRPr="007173AF" w14:paraId="71D820D1" w14:textId="77777777" w:rsidTr="003E3DB6">
        <w:trPr>
          <w:trHeight w:val="157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610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7CC9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сотрудника участника закупки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1737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Серия и номер трудовой книжки, трудового договора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E9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73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Реквизиты дипломов и документов, подтверждающих прохождение повышения квалификации (переподготовки)</w:t>
            </w:r>
          </w:p>
        </w:tc>
      </w:tr>
      <w:tr w:rsidR="003E3DB6" w:rsidRPr="007173AF" w14:paraId="21F745D1" w14:textId="77777777" w:rsidTr="003E3DB6">
        <w:trPr>
          <w:trHeight w:val="96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594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E7C9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ECA1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177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3DB6" w:rsidRPr="007173AF" w14:paraId="1E91CA75" w14:textId="77777777" w:rsidTr="003E3DB6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69F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77B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BBB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ACD" w14:textId="77777777" w:rsidR="003E3DB6" w:rsidRPr="007173AF" w:rsidRDefault="003E3DB6">
            <w:pPr>
              <w:framePr w:hSpace="180" w:wrap="around" w:vAnchor="text" w:hAnchor="page" w:x="1096" w:y="362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DB6" w:rsidRPr="007173AF" w14:paraId="2C3BB8C4" w14:textId="77777777" w:rsidTr="003E3DB6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B834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A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8A97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1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BAE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079" w14:textId="77777777" w:rsidR="003E3DB6" w:rsidRPr="007173AF" w:rsidRDefault="003E3DB6">
            <w:pPr>
              <w:framePr w:hSpace="180" w:wrap="around" w:vAnchor="text" w:hAnchor="page" w:x="1096" w:y="362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2C03A2" w14:textId="77777777" w:rsidR="003E3DB6" w:rsidRPr="007173AF" w:rsidRDefault="003E3DB6" w:rsidP="003E3DB6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7173AF">
        <w:rPr>
          <w:rFonts w:ascii="Times New Roman" w:hAnsi="Times New Roman" w:cs="Times New Roman"/>
          <w:b/>
        </w:rPr>
        <w:t>Критериям оценки заявок</w:t>
      </w:r>
    </w:p>
    <w:p w14:paraId="55941BD1" w14:textId="77777777" w:rsidR="003E3DB6" w:rsidRPr="007173AF" w:rsidRDefault="003E3DB6" w:rsidP="003E3DB6">
      <w:pPr>
        <w:spacing w:after="0" w:line="276" w:lineRule="auto"/>
        <w:rPr>
          <w:rFonts w:ascii="Times New Roman" w:hAnsi="Times New Roman" w:cs="Times New Roman"/>
          <w:b/>
        </w:rPr>
        <w:sectPr w:rsidR="003E3DB6" w:rsidRPr="007173AF" w:rsidSect="003E3DB6">
          <w:pgSz w:w="16838" w:h="11905" w:orient="landscape"/>
          <w:pgMar w:top="1418" w:right="1134" w:bottom="709" w:left="992" w:header="0" w:footer="272" w:gutter="0"/>
          <w:cols w:space="720"/>
        </w:sectPr>
      </w:pPr>
    </w:p>
    <w:p w14:paraId="2DFC0315" w14:textId="77777777" w:rsidR="003E3DB6" w:rsidRPr="007173AF" w:rsidRDefault="003E3DB6" w:rsidP="003E3DB6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7173AF">
        <w:rPr>
          <w:rFonts w:ascii="Times New Roman" w:hAnsi="Times New Roman" w:cs="Times New Roman"/>
          <w:b/>
        </w:rPr>
        <w:lastRenderedPageBreak/>
        <w:t xml:space="preserve">Приложение №2 к </w:t>
      </w:r>
    </w:p>
    <w:p w14:paraId="380F1485" w14:textId="77777777" w:rsidR="003E3DB6" w:rsidRPr="007173AF" w:rsidRDefault="003E3DB6" w:rsidP="003E3DB6">
      <w:pPr>
        <w:framePr w:hSpace="180" w:wrap="around" w:vAnchor="text" w:hAnchor="page" w:x="1335" w:y="712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перечне и объемах выполнения аналогичных договоров</w:t>
      </w:r>
    </w:p>
    <w:p w14:paraId="35930EA1" w14:textId="77777777" w:rsidR="003E3DB6" w:rsidRPr="007173AF" w:rsidRDefault="003E3DB6" w:rsidP="003E3DB6">
      <w:pPr>
        <w:framePr w:hSpace="180" w:wrap="around" w:vAnchor="text" w:hAnchor="page" w:x="1335" w:y="712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5A507EF" w14:textId="77777777" w:rsidR="003E3DB6" w:rsidRPr="007173AF" w:rsidRDefault="003E3DB6" w:rsidP="00611AE8">
      <w:pPr>
        <w:framePr w:hSpace="180" w:wrap="around" w:vAnchor="text" w:hAnchor="page" w:x="1335" w:y="712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7173AF">
        <w:t xml:space="preserve"> </w:t>
      </w: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свою квалификацию следующей информацией:</w:t>
      </w:r>
    </w:p>
    <w:p w14:paraId="072E46AD" w14:textId="77777777" w:rsidR="003E3DB6" w:rsidRPr="007173AF" w:rsidRDefault="003E3DB6" w:rsidP="00611AE8">
      <w:pPr>
        <w:framePr w:hSpace="180" w:wrap="around" w:vAnchor="text" w:hAnchor="page" w:x="1335" w:y="71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3A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участника закупки)</w:t>
      </w:r>
    </w:p>
    <w:p w14:paraId="155A0F13" w14:textId="77777777" w:rsidR="003E3DB6" w:rsidRPr="007173AF" w:rsidRDefault="003E3DB6" w:rsidP="003E3DB6">
      <w:pPr>
        <w:framePr w:hSpace="180" w:wrap="around" w:vAnchor="text" w:hAnchor="page" w:x="1335" w:y="712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11688" w14:textId="77777777" w:rsidR="003E3DB6" w:rsidRPr="007173AF" w:rsidRDefault="003E3DB6" w:rsidP="003E3DB6">
      <w:pPr>
        <w:framePr w:hSpace="180" w:wrap="around" w:vAnchor="text" w:hAnchor="page" w:x="1335" w:y="712"/>
        <w:widowControl w:val="0"/>
        <w:spacing w:after="240" w:line="278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у участника конкурса опыта по успешному выполнению работ сопоставимого характера.</w:t>
      </w:r>
    </w:p>
    <w:p w14:paraId="33CA35F3" w14:textId="77777777" w:rsidR="00611AE8" w:rsidRPr="007173AF" w:rsidRDefault="003E3DB6" w:rsidP="00611AE8">
      <w:pPr>
        <w:framePr w:hSpace="180" w:wrap="around" w:vAnchor="text" w:hAnchor="page" w:x="1335" w:y="712"/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указывается </w:t>
      </w:r>
      <w:r w:rsidR="00611AE8" w:rsidRPr="0071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 соответствии с требованиями п. 2.2 Критериев оценки заявок по показателю </w:t>
      </w:r>
      <w:r w:rsidR="00611AE8" w:rsidRPr="007173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«Опыт участника по успешной поставке товаров, выполнению работ, оказанию услуг сопоставимого характера и объема». </w:t>
      </w:r>
    </w:p>
    <w:p w14:paraId="6F847D3F" w14:textId="77777777" w:rsidR="000130B1" w:rsidRPr="007173AF" w:rsidRDefault="000130B1" w:rsidP="003E3DB6">
      <w:pPr>
        <w:framePr w:hSpace="180" w:wrap="around" w:vAnchor="text" w:hAnchor="page" w:x="1335" w:y="712"/>
        <w:spacing w:before="240"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20"/>
        <w:gridCol w:w="1286"/>
        <w:gridCol w:w="1710"/>
        <w:gridCol w:w="1559"/>
        <w:gridCol w:w="1094"/>
        <w:gridCol w:w="2019"/>
      </w:tblGrid>
      <w:tr w:rsidR="006024C2" w:rsidRPr="007173AF" w14:paraId="3B089CD9" w14:textId="77777777" w:rsidTr="006024C2">
        <w:trPr>
          <w:cantSplit/>
          <w:trHeight w:val="157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F26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8FB" w14:textId="77777777" w:rsidR="006024C2" w:rsidRPr="007173AF" w:rsidRDefault="006024C2">
            <w:pPr>
              <w:framePr w:hSpace="180" w:wrap="around" w:vAnchor="text" w:hAnchor="page" w:x="1335" w:y="712"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3FC4" w14:textId="77777777" w:rsidR="006024C2" w:rsidRPr="007173AF" w:rsidRDefault="006024C2">
            <w:pPr>
              <w:framePr w:hSpace="180" w:wrap="around" w:vAnchor="text" w:hAnchor="page" w:x="1335" w:y="71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Период выполнения работ</w:t>
            </w:r>
          </w:p>
          <w:p w14:paraId="36222256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17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(даты начала и окончания)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18CE" w14:textId="77777777" w:rsidR="006024C2" w:rsidRPr="007173AF" w:rsidRDefault="006024C2">
            <w:pPr>
              <w:framePr w:hSpace="180" w:wrap="around" w:vAnchor="text" w:hAnchor="page" w:x="1335" w:y="712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Цена договора/контракта</w:t>
            </w:r>
          </w:p>
          <w:p w14:paraId="57A06F53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7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0D9" w14:textId="2680FF47" w:rsidR="006024C2" w:rsidRPr="007173AF" w:rsidRDefault="006024C2">
            <w:pPr>
              <w:framePr w:hSpace="180" w:wrap="around" w:vAnchor="text" w:hAnchor="page" w:x="1335" w:y="7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Стоимость работ, </w:t>
            </w:r>
            <w:r w:rsidR="004D2B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исполненных и </w:t>
            </w: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принятых за период с 202</w:t>
            </w:r>
            <w:r w:rsidR="004D2B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4BAC" w14:textId="77777777" w:rsidR="006024C2" w:rsidRPr="007173AF" w:rsidRDefault="006024C2">
            <w:pPr>
              <w:framePr w:hSpace="180" w:wrap="around" w:vAnchor="text" w:hAnchor="page" w:x="1335" w:y="712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F355" w14:textId="77777777" w:rsidR="006024C2" w:rsidRPr="007173AF" w:rsidRDefault="006024C2">
            <w:pPr>
              <w:framePr w:hSpace="180" w:wrap="around" w:vAnchor="text" w:hAnchor="page" w:x="1335" w:y="71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Подтверждение указанных сведений</w:t>
            </w:r>
          </w:p>
          <w:p w14:paraId="6476C24B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173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(номер и дата контракта (или договора) на выполнение работ и </w:t>
            </w:r>
            <w:r w:rsidRPr="007173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акта сдачи-приемки выполненных работ)</w:t>
            </w:r>
          </w:p>
        </w:tc>
      </w:tr>
      <w:tr w:rsidR="006024C2" w:rsidRPr="007173AF" w14:paraId="54778185" w14:textId="77777777" w:rsidTr="006024C2">
        <w:trPr>
          <w:trHeight w:val="9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165C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5FB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70DD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B098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6AE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EBA5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B23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024C2" w:rsidRPr="007173AF" w14:paraId="44AE27D7" w14:textId="77777777" w:rsidTr="006024C2">
        <w:trPr>
          <w:trHeight w:val="6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310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4D4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C58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FB5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E06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9A8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4D4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4C2" w:rsidRPr="007173AF" w14:paraId="5052539D" w14:textId="77777777" w:rsidTr="006024C2">
        <w:trPr>
          <w:trHeight w:val="6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03D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BE5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413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53F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280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8EE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2D4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4C2" w:rsidRPr="007173AF" w14:paraId="7C78479E" w14:textId="77777777" w:rsidTr="006024C2">
        <w:trPr>
          <w:trHeight w:val="6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B82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C2A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1A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39B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35B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725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7D8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4C2" w:rsidRPr="007173AF" w14:paraId="5FEAF19A" w14:textId="77777777" w:rsidTr="006024C2">
        <w:trPr>
          <w:trHeight w:val="96"/>
          <w:jc w:val="center"/>
        </w:trPr>
        <w:tc>
          <w:tcPr>
            <w:tcW w:w="1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638C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21B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441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B169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F425" w14:textId="77777777" w:rsidR="006024C2" w:rsidRPr="007173AF" w:rsidRDefault="006024C2">
            <w:pPr>
              <w:framePr w:hSpace="180" w:wrap="around" w:vAnchor="text" w:hAnchor="page" w:x="1335" w:y="712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14:paraId="534389B2" w14:textId="77777777" w:rsidR="003E3DB6" w:rsidRDefault="003E3DB6" w:rsidP="003E3DB6">
      <w:pPr>
        <w:pStyle w:val="aff0"/>
      </w:pPr>
      <w:r w:rsidRPr="007173AF">
        <w:t>Критериям оценки заявок</w:t>
      </w:r>
    </w:p>
    <w:p w14:paraId="610648F4" w14:textId="77777777" w:rsidR="005B123C" w:rsidRPr="00221EE1" w:rsidRDefault="005B123C" w:rsidP="00690E8B">
      <w:pPr>
        <w:spacing w:after="0" w:line="276" w:lineRule="auto"/>
        <w:contextualSpacing/>
        <w:rPr>
          <w:rFonts w:ascii="Times New Roman" w:hAnsi="Times New Roman" w:cs="Times New Roman"/>
          <w:b/>
        </w:rPr>
      </w:pPr>
    </w:p>
    <w:sectPr w:rsidR="005B123C" w:rsidRPr="00221EE1" w:rsidSect="008F56C2">
      <w:headerReference w:type="default" r:id="rId14"/>
      <w:footerReference w:type="default" r:id="rId15"/>
      <w:type w:val="continuous"/>
      <w:pgSz w:w="11905" w:h="16838"/>
      <w:pgMar w:top="1134" w:right="706" w:bottom="993" w:left="1418" w:header="0" w:footer="2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95BDA" w14:textId="77777777" w:rsidR="00EF6F4F" w:rsidRDefault="00EF6F4F" w:rsidP="005D7B8A">
      <w:pPr>
        <w:spacing w:after="0" w:line="240" w:lineRule="auto"/>
      </w:pPr>
      <w:r>
        <w:separator/>
      </w:r>
    </w:p>
  </w:endnote>
  <w:endnote w:type="continuationSeparator" w:id="0">
    <w:p w14:paraId="58B0FF62" w14:textId="77777777" w:rsidR="00EF6F4F" w:rsidRDefault="00EF6F4F" w:rsidP="005D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3D7E" w14:textId="77777777" w:rsidR="001A622A" w:rsidRDefault="001A622A" w:rsidP="00E42D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16BBE" w14:textId="77777777" w:rsidR="00EF6F4F" w:rsidRDefault="00EF6F4F" w:rsidP="005D7B8A">
      <w:pPr>
        <w:spacing w:after="0" w:line="240" w:lineRule="auto"/>
      </w:pPr>
      <w:r>
        <w:separator/>
      </w:r>
    </w:p>
  </w:footnote>
  <w:footnote w:type="continuationSeparator" w:id="0">
    <w:p w14:paraId="655D3D79" w14:textId="77777777" w:rsidR="00EF6F4F" w:rsidRDefault="00EF6F4F" w:rsidP="005D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6646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B830D4" w14:textId="77777777" w:rsidR="001A622A" w:rsidRDefault="001A622A">
        <w:pPr>
          <w:pStyle w:val="a3"/>
          <w:jc w:val="center"/>
        </w:pPr>
      </w:p>
      <w:p w14:paraId="0435EC8B" w14:textId="77777777" w:rsidR="001A622A" w:rsidRDefault="001A622A">
        <w:pPr>
          <w:pStyle w:val="a3"/>
          <w:jc w:val="center"/>
        </w:pPr>
      </w:p>
      <w:p w14:paraId="23C03477" w14:textId="77777777" w:rsidR="001A622A" w:rsidRPr="00077F3D" w:rsidRDefault="001A62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F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F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7F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DB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77F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A973E7" w14:textId="77777777" w:rsidR="001A622A" w:rsidRPr="00A336A7" w:rsidRDefault="001A622A" w:rsidP="00E42D1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9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039652D7"/>
    <w:multiLevelType w:val="multilevel"/>
    <w:tmpl w:val="83DC2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5C2013D"/>
    <w:multiLevelType w:val="multilevel"/>
    <w:tmpl w:val="AA94827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099263AB"/>
    <w:multiLevelType w:val="hybridMultilevel"/>
    <w:tmpl w:val="15129BAE"/>
    <w:lvl w:ilvl="0" w:tplc="6D140B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DBB66E4"/>
    <w:multiLevelType w:val="multilevel"/>
    <w:tmpl w:val="BF76C9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EB657E"/>
    <w:multiLevelType w:val="multilevel"/>
    <w:tmpl w:val="01928A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6480B87"/>
    <w:multiLevelType w:val="hybridMultilevel"/>
    <w:tmpl w:val="DC982CDA"/>
    <w:lvl w:ilvl="0" w:tplc="60F042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F61EBA"/>
    <w:multiLevelType w:val="multilevel"/>
    <w:tmpl w:val="489E577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C438C"/>
    <w:multiLevelType w:val="hybridMultilevel"/>
    <w:tmpl w:val="724410DE"/>
    <w:lvl w:ilvl="0" w:tplc="3D902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E6050"/>
    <w:multiLevelType w:val="multilevel"/>
    <w:tmpl w:val="BF76C9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5D232B"/>
    <w:multiLevelType w:val="hybridMultilevel"/>
    <w:tmpl w:val="0262D5AC"/>
    <w:lvl w:ilvl="0" w:tplc="A0600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670BC"/>
    <w:multiLevelType w:val="multilevel"/>
    <w:tmpl w:val="4B86D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4662C3"/>
    <w:multiLevelType w:val="multilevel"/>
    <w:tmpl w:val="43F2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5B4835"/>
    <w:multiLevelType w:val="hybridMultilevel"/>
    <w:tmpl w:val="A7D28EFE"/>
    <w:lvl w:ilvl="0" w:tplc="19D0AC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2CE058C5"/>
    <w:multiLevelType w:val="multilevel"/>
    <w:tmpl w:val="051A2EBC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F664DC"/>
    <w:multiLevelType w:val="multilevel"/>
    <w:tmpl w:val="55FAD2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755E24"/>
    <w:multiLevelType w:val="multilevel"/>
    <w:tmpl w:val="B940424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32C71"/>
    <w:multiLevelType w:val="hybridMultilevel"/>
    <w:tmpl w:val="89226484"/>
    <w:lvl w:ilvl="0" w:tplc="EAC06F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885E83"/>
    <w:multiLevelType w:val="multilevel"/>
    <w:tmpl w:val="0F16F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2F73AF"/>
    <w:multiLevelType w:val="hybridMultilevel"/>
    <w:tmpl w:val="86AE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573CC"/>
    <w:multiLevelType w:val="multilevel"/>
    <w:tmpl w:val="BFBE9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CB291A"/>
    <w:multiLevelType w:val="hybridMultilevel"/>
    <w:tmpl w:val="98B025A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9F0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293933"/>
    <w:multiLevelType w:val="multilevel"/>
    <w:tmpl w:val="222C71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CF3B40"/>
    <w:multiLevelType w:val="hybridMultilevel"/>
    <w:tmpl w:val="933AA45C"/>
    <w:lvl w:ilvl="0" w:tplc="0DA833EC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2" w15:restartNumberingAfterBreak="0">
    <w:nsid w:val="49297313"/>
    <w:multiLevelType w:val="multilevel"/>
    <w:tmpl w:val="DED8A15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F43134"/>
    <w:multiLevelType w:val="multilevel"/>
    <w:tmpl w:val="A2EEFC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5E7160"/>
    <w:multiLevelType w:val="multilevel"/>
    <w:tmpl w:val="FD3A52C8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0.%2."/>
      <w:lvlJc w:val="left"/>
      <w:pPr>
        <w:tabs>
          <w:tab w:val="num" w:pos="4679"/>
        </w:tabs>
        <w:ind w:left="4679" w:hanging="567"/>
      </w:pPr>
      <w:rPr>
        <w:rFonts w:cs="Times New Roman" w:hint="default"/>
        <w:u w:val="none"/>
      </w:rPr>
    </w:lvl>
    <w:lvl w:ilvl="2">
      <w:start w:val="1"/>
      <w:numFmt w:val="decimal"/>
      <w:lvlText w:val="%10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trike w:val="0"/>
      </w:rPr>
    </w:lvl>
    <w:lvl w:ilvl="3">
      <w:start w:val="1"/>
      <w:numFmt w:val="decimal"/>
      <w:lvlText w:val="%10.%2.%3.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35" w15:restartNumberingAfterBreak="0">
    <w:nsid w:val="4D627D29"/>
    <w:multiLevelType w:val="hybridMultilevel"/>
    <w:tmpl w:val="D80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868AD"/>
    <w:multiLevelType w:val="hybridMultilevel"/>
    <w:tmpl w:val="0ACC711A"/>
    <w:lvl w:ilvl="0" w:tplc="F10CFE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D59200E0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5C8F2FCA"/>
    <w:multiLevelType w:val="multilevel"/>
    <w:tmpl w:val="0CA0A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B60C3B"/>
    <w:multiLevelType w:val="multilevel"/>
    <w:tmpl w:val="1E80933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2C5E2D"/>
    <w:multiLevelType w:val="multilevel"/>
    <w:tmpl w:val="58FEA0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36AC4"/>
    <w:multiLevelType w:val="multilevel"/>
    <w:tmpl w:val="EECE08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DEA5C91"/>
    <w:multiLevelType w:val="multilevel"/>
    <w:tmpl w:val="BF76C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31"/>
  </w:num>
  <w:num w:numId="13">
    <w:abstractNumId w:val="4"/>
  </w:num>
  <w:num w:numId="14">
    <w:abstractNumId w:val="36"/>
  </w:num>
  <w:num w:numId="15">
    <w:abstractNumId w:val="20"/>
  </w:num>
  <w:num w:numId="16">
    <w:abstractNumId w:val="29"/>
  </w:num>
  <w:num w:numId="17">
    <w:abstractNumId w:val="17"/>
  </w:num>
  <w:num w:numId="18">
    <w:abstractNumId w:val="26"/>
  </w:num>
  <w:num w:numId="19">
    <w:abstractNumId w:val="15"/>
  </w:num>
  <w:num w:numId="20">
    <w:abstractNumId w:val="27"/>
  </w:num>
  <w:num w:numId="21">
    <w:abstractNumId w:val="19"/>
  </w:num>
  <w:num w:numId="22">
    <w:abstractNumId w:val="8"/>
  </w:num>
  <w:num w:numId="23">
    <w:abstractNumId w:val="12"/>
  </w:num>
  <w:num w:numId="24">
    <w:abstractNumId w:val="40"/>
  </w:num>
  <w:num w:numId="25">
    <w:abstractNumId w:val="34"/>
  </w:num>
  <w:num w:numId="26">
    <w:abstractNumId w:val="22"/>
  </w:num>
  <w:num w:numId="27">
    <w:abstractNumId w:val="25"/>
  </w:num>
  <w:num w:numId="28">
    <w:abstractNumId w:val="37"/>
  </w:num>
  <w:num w:numId="29">
    <w:abstractNumId w:val="39"/>
  </w:num>
  <w:num w:numId="30">
    <w:abstractNumId w:val="23"/>
  </w:num>
  <w:num w:numId="31">
    <w:abstractNumId w:val="32"/>
  </w:num>
  <w:num w:numId="32">
    <w:abstractNumId w:val="18"/>
  </w:num>
  <w:num w:numId="33">
    <w:abstractNumId w:val="41"/>
  </w:num>
  <w:num w:numId="34">
    <w:abstractNumId w:val="33"/>
  </w:num>
  <w:num w:numId="35">
    <w:abstractNumId w:val="11"/>
  </w:num>
  <w:num w:numId="36">
    <w:abstractNumId w:val="16"/>
  </w:num>
  <w:num w:numId="37">
    <w:abstractNumId w:val="14"/>
  </w:num>
  <w:num w:numId="38">
    <w:abstractNumId w:val="38"/>
  </w:num>
  <w:num w:numId="39">
    <w:abstractNumId w:val="21"/>
  </w:num>
  <w:num w:numId="40">
    <w:abstractNumId w:val="30"/>
  </w:num>
  <w:num w:numId="41">
    <w:abstractNumId w:val="24"/>
  </w:num>
  <w:num w:numId="4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8A"/>
    <w:rsid w:val="00000BBC"/>
    <w:rsid w:val="00005E49"/>
    <w:rsid w:val="000130B1"/>
    <w:rsid w:val="000241AE"/>
    <w:rsid w:val="00033F15"/>
    <w:rsid w:val="00036AEB"/>
    <w:rsid w:val="00036E0A"/>
    <w:rsid w:val="00040CE7"/>
    <w:rsid w:val="00041EC9"/>
    <w:rsid w:val="00046057"/>
    <w:rsid w:val="00052912"/>
    <w:rsid w:val="000600B1"/>
    <w:rsid w:val="00061C13"/>
    <w:rsid w:val="00075314"/>
    <w:rsid w:val="00083FE6"/>
    <w:rsid w:val="000A0CB5"/>
    <w:rsid w:val="000B184B"/>
    <w:rsid w:val="000B676C"/>
    <w:rsid w:val="000C6AF3"/>
    <w:rsid w:val="000C7DAA"/>
    <w:rsid w:val="000E1370"/>
    <w:rsid w:val="000E30C4"/>
    <w:rsid w:val="000E3522"/>
    <w:rsid w:val="000E40AA"/>
    <w:rsid w:val="000E5739"/>
    <w:rsid w:val="000F31C4"/>
    <w:rsid w:val="000F4888"/>
    <w:rsid w:val="00111FA6"/>
    <w:rsid w:val="00112254"/>
    <w:rsid w:val="001123D5"/>
    <w:rsid w:val="00133635"/>
    <w:rsid w:val="0014091A"/>
    <w:rsid w:val="00152152"/>
    <w:rsid w:val="001524F2"/>
    <w:rsid w:val="0015659C"/>
    <w:rsid w:val="0015666A"/>
    <w:rsid w:val="001566A8"/>
    <w:rsid w:val="00157C29"/>
    <w:rsid w:val="0016004B"/>
    <w:rsid w:val="0016575C"/>
    <w:rsid w:val="0017259D"/>
    <w:rsid w:val="00180B57"/>
    <w:rsid w:val="00182574"/>
    <w:rsid w:val="00192C14"/>
    <w:rsid w:val="001A007C"/>
    <w:rsid w:val="001A622A"/>
    <w:rsid w:val="001A6CE8"/>
    <w:rsid w:val="001A6DE2"/>
    <w:rsid w:val="001B383E"/>
    <w:rsid w:val="001B54B3"/>
    <w:rsid w:val="001B712F"/>
    <w:rsid w:val="001C4319"/>
    <w:rsid w:val="001D3329"/>
    <w:rsid w:val="001D61A1"/>
    <w:rsid w:val="001E112F"/>
    <w:rsid w:val="001F796C"/>
    <w:rsid w:val="002022A0"/>
    <w:rsid w:val="0020420D"/>
    <w:rsid w:val="0021052C"/>
    <w:rsid w:val="00212726"/>
    <w:rsid w:val="00221EE1"/>
    <w:rsid w:val="00230104"/>
    <w:rsid w:val="0023635C"/>
    <w:rsid w:val="00245FF7"/>
    <w:rsid w:val="00247C82"/>
    <w:rsid w:val="0025179B"/>
    <w:rsid w:val="00254D1E"/>
    <w:rsid w:val="002623E3"/>
    <w:rsid w:val="00262408"/>
    <w:rsid w:val="00270A1D"/>
    <w:rsid w:val="002879B1"/>
    <w:rsid w:val="00291979"/>
    <w:rsid w:val="00293883"/>
    <w:rsid w:val="002A5D7B"/>
    <w:rsid w:val="002A71C6"/>
    <w:rsid w:val="002B11B2"/>
    <w:rsid w:val="002B2E17"/>
    <w:rsid w:val="002C4A1D"/>
    <w:rsid w:val="002C68F6"/>
    <w:rsid w:val="002E4B16"/>
    <w:rsid w:val="00302FA7"/>
    <w:rsid w:val="003040FF"/>
    <w:rsid w:val="00306EC0"/>
    <w:rsid w:val="00316089"/>
    <w:rsid w:val="00323005"/>
    <w:rsid w:val="003315ED"/>
    <w:rsid w:val="00332264"/>
    <w:rsid w:val="00340157"/>
    <w:rsid w:val="0034474D"/>
    <w:rsid w:val="0034491D"/>
    <w:rsid w:val="00345586"/>
    <w:rsid w:val="00345A55"/>
    <w:rsid w:val="0034640F"/>
    <w:rsid w:val="00354CB9"/>
    <w:rsid w:val="003601F3"/>
    <w:rsid w:val="00363E33"/>
    <w:rsid w:val="00372FC0"/>
    <w:rsid w:val="00377CD6"/>
    <w:rsid w:val="00384EEB"/>
    <w:rsid w:val="00396535"/>
    <w:rsid w:val="003A28EA"/>
    <w:rsid w:val="003A32B2"/>
    <w:rsid w:val="003A540A"/>
    <w:rsid w:val="003B39BD"/>
    <w:rsid w:val="003B596C"/>
    <w:rsid w:val="003C1595"/>
    <w:rsid w:val="003D3FB8"/>
    <w:rsid w:val="003D440B"/>
    <w:rsid w:val="003E3860"/>
    <w:rsid w:val="003E3DB6"/>
    <w:rsid w:val="003E68D8"/>
    <w:rsid w:val="003F1501"/>
    <w:rsid w:val="00410CBA"/>
    <w:rsid w:val="00413793"/>
    <w:rsid w:val="00416473"/>
    <w:rsid w:val="00422404"/>
    <w:rsid w:val="00424FB0"/>
    <w:rsid w:val="0043218C"/>
    <w:rsid w:val="00434239"/>
    <w:rsid w:val="00445F4C"/>
    <w:rsid w:val="00453861"/>
    <w:rsid w:val="00454479"/>
    <w:rsid w:val="00454CBB"/>
    <w:rsid w:val="00465B36"/>
    <w:rsid w:val="00487B1A"/>
    <w:rsid w:val="00490540"/>
    <w:rsid w:val="00491C89"/>
    <w:rsid w:val="004A6F28"/>
    <w:rsid w:val="004B040A"/>
    <w:rsid w:val="004B3654"/>
    <w:rsid w:val="004B4E2A"/>
    <w:rsid w:val="004B6ABA"/>
    <w:rsid w:val="004C5C42"/>
    <w:rsid w:val="004C72B9"/>
    <w:rsid w:val="004D2B42"/>
    <w:rsid w:val="004E1E44"/>
    <w:rsid w:val="004E37D0"/>
    <w:rsid w:val="004E3D36"/>
    <w:rsid w:val="0050272B"/>
    <w:rsid w:val="00503A1B"/>
    <w:rsid w:val="005152E5"/>
    <w:rsid w:val="0051637F"/>
    <w:rsid w:val="00531C77"/>
    <w:rsid w:val="00532853"/>
    <w:rsid w:val="0053412F"/>
    <w:rsid w:val="00541D36"/>
    <w:rsid w:val="005461D6"/>
    <w:rsid w:val="00550435"/>
    <w:rsid w:val="00556F8C"/>
    <w:rsid w:val="0056380D"/>
    <w:rsid w:val="005704E5"/>
    <w:rsid w:val="00583E2E"/>
    <w:rsid w:val="0058621B"/>
    <w:rsid w:val="005B123C"/>
    <w:rsid w:val="005B7ADF"/>
    <w:rsid w:val="005C3099"/>
    <w:rsid w:val="005C4B29"/>
    <w:rsid w:val="005D7B8A"/>
    <w:rsid w:val="005F1579"/>
    <w:rsid w:val="005F5971"/>
    <w:rsid w:val="006024C2"/>
    <w:rsid w:val="00611AE8"/>
    <w:rsid w:val="006234AA"/>
    <w:rsid w:val="00624D77"/>
    <w:rsid w:val="00630EC6"/>
    <w:rsid w:val="006324ED"/>
    <w:rsid w:val="00635A71"/>
    <w:rsid w:val="00641003"/>
    <w:rsid w:val="006417CE"/>
    <w:rsid w:val="006542E3"/>
    <w:rsid w:val="00665B97"/>
    <w:rsid w:val="006664F7"/>
    <w:rsid w:val="00680CE9"/>
    <w:rsid w:val="00685C19"/>
    <w:rsid w:val="00690E8B"/>
    <w:rsid w:val="006B484B"/>
    <w:rsid w:val="006C2A32"/>
    <w:rsid w:val="006C6A77"/>
    <w:rsid w:val="006D2502"/>
    <w:rsid w:val="006E2E43"/>
    <w:rsid w:val="006E53FB"/>
    <w:rsid w:val="006F3B82"/>
    <w:rsid w:val="00701066"/>
    <w:rsid w:val="007033AC"/>
    <w:rsid w:val="007051D2"/>
    <w:rsid w:val="00710063"/>
    <w:rsid w:val="00710B18"/>
    <w:rsid w:val="00713F0D"/>
    <w:rsid w:val="00716E87"/>
    <w:rsid w:val="007173AF"/>
    <w:rsid w:val="00717F33"/>
    <w:rsid w:val="00722975"/>
    <w:rsid w:val="007460B8"/>
    <w:rsid w:val="00752578"/>
    <w:rsid w:val="00752BB5"/>
    <w:rsid w:val="00764086"/>
    <w:rsid w:val="00775DD9"/>
    <w:rsid w:val="00781F8F"/>
    <w:rsid w:val="007913D2"/>
    <w:rsid w:val="00795B60"/>
    <w:rsid w:val="00797567"/>
    <w:rsid w:val="007B1A8E"/>
    <w:rsid w:val="007C1B6A"/>
    <w:rsid w:val="007C2C81"/>
    <w:rsid w:val="007C3088"/>
    <w:rsid w:val="007C6D4A"/>
    <w:rsid w:val="007D5257"/>
    <w:rsid w:val="007E3825"/>
    <w:rsid w:val="008000A4"/>
    <w:rsid w:val="00826408"/>
    <w:rsid w:val="00830436"/>
    <w:rsid w:val="00832B14"/>
    <w:rsid w:val="008544EA"/>
    <w:rsid w:val="008578E7"/>
    <w:rsid w:val="00862F70"/>
    <w:rsid w:val="00863966"/>
    <w:rsid w:val="00871C23"/>
    <w:rsid w:val="008A133E"/>
    <w:rsid w:val="008A789A"/>
    <w:rsid w:val="008C2376"/>
    <w:rsid w:val="008C28D1"/>
    <w:rsid w:val="008C5CCB"/>
    <w:rsid w:val="008C7CB6"/>
    <w:rsid w:val="008E1C45"/>
    <w:rsid w:val="008F242C"/>
    <w:rsid w:val="008F56C2"/>
    <w:rsid w:val="00902B58"/>
    <w:rsid w:val="00921E40"/>
    <w:rsid w:val="009264A8"/>
    <w:rsid w:val="009341CF"/>
    <w:rsid w:val="00936CE7"/>
    <w:rsid w:val="009376D3"/>
    <w:rsid w:val="009404C3"/>
    <w:rsid w:val="00941C3C"/>
    <w:rsid w:val="00942054"/>
    <w:rsid w:val="00946A8A"/>
    <w:rsid w:val="009573CF"/>
    <w:rsid w:val="0096364B"/>
    <w:rsid w:val="00970986"/>
    <w:rsid w:val="009817A1"/>
    <w:rsid w:val="009970DA"/>
    <w:rsid w:val="009975E3"/>
    <w:rsid w:val="009A6939"/>
    <w:rsid w:val="009B039C"/>
    <w:rsid w:val="009B1D6B"/>
    <w:rsid w:val="009B7F17"/>
    <w:rsid w:val="009C6743"/>
    <w:rsid w:val="009D5958"/>
    <w:rsid w:val="009D6D08"/>
    <w:rsid w:val="009D799D"/>
    <w:rsid w:val="009E308A"/>
    <w:rsid w:val="009E4D73"/>
    <w:rsid w:val="00A005C2"/>
    <w:rsid w:val="00A01D3B"/>
    <w:rsid w:val="00A03926"/>
    <w:rsid w:val="00A040E2"/>
    <w:rsid w:val="00A04924"/>
    <w:rsid w:val="00A16573"/>
    <w:rsid w:val="00A20B1D"/>
    <w:rsid w:val="00A218B7"/>
    <w:rsid w:val="00A30091"/>
    <w:rsid w:val="00A31C16"/>
    <w:rsid w:val="00A31D58"/>
    <w:rsid w:val="00A377A4"/>
    <w:rsid w:val="00A40B0E"/>
    <w:rsid w:val="00A4447F"/>
    <w:rsid w:val="00A502EF"/>
    <w:rsid w:val="00A52E87"/>
    <w:rsid w:val="00A7609A"/>
    <w:rsid w:val="00A81CC9"/>
    <w:rsid w:val="00A82654"/>
    <w:rsid w:val="00A9495D"/>
    <w:rsid w:val="00A97676"/>
    <w:rsid w:val="00AA2FA2"/>
    <w:rsid w:val="00AB06B5"/>
    <w:rsid w:val="00AB0BDA"/>
    <w:rsid w:val="00AB0FDD"/>
    <w:rsid w:val="00AB10CB"/>
    <w:rsid w:val="00AB1EF1"/>
    <w:rsid w:val="00AB2AA1"/>
    <w:rsid w:val="00AC184D"/>
    <w:rsid w:val="00AC4B38"/>
    <w:rsid w:val="00AD22BA"/>
    <w:rsid w:val="00AD4464"/>
    <w:rsid w:val="00AE17E4"/>
    <w:rsid w:val="00B045CC"/>
    <w:rsid w:val="00B1544D"/>
    <w:rsid w:val="00B229FE"/>
    <w:rsid w:val="00B33249"/>
    <w:rsid w:val="00B35727"/>
    <w:rsid w:val="00B40061"/>
    <w:rsid w:val="00B41138"/>
    <w:rsid w:val="00B420D9"/>
    <w:rsid w:val="00B44464"/>
    <w:rsid w:val="00B51EB4"/>
    <w:rsid w:val="00B630AA"/>
    <w:rsid w:val="00B648BB"/>
    <w:rsid w:val="00B84082"/>
    <w:rsid w:val="00B84930"/>
    <w:rsid w:val="00B91FEE"/>
    <w:rsid w:val="00B93116"/>
    <w:rsid w:val="00BA10C3"/>
    <w:rsid w:val="00BA3841"/>
    <w:rsid w:val="00BA5923"/>
    <w:rsid w:val="00BA5E2B"/>
    <w:rsid w:val="00BB1DF0"/>
    <w:rsid w:val="00BB3228"/>
    <w:rsid w:val="00BC00E0"/>
    <w:rsid w:val="00BC12DB"/>
    <w:rsid w:val="00BD14CC"/>
    <w:rsid w:val="00BE03D2"/>
    <w:rsid w:val="00BF4F42"/>
    <w:rsid w:val="00C1092B"/>
    <w:rsid w:val="00C21BC2"/>
    <w:rsid w:val="00C23D5B"/>
    <w:rsid w:val="00C25002"/>
    <w:rsid w:val="00C26240"/>
    <w:rsid w:val="00C26DDE"/>
    <w:rsid w:val="00C31675"/>
    <w:rsid w:val="00C37A25"/>
    <w:rsid w:val="00C46550"/>
    <w:rsid w:val="00C72956"/>
    <w:rsid w:val="00C73379"/>
    <w:rsid w:val="00C75DE1"/>
    <w:rsid w:val="00C7659E"/>
    <w:rsid w:val="00C871B7"/>
    <w:rsid w:val="00C91924"/>
    <w:rsid w:val="00C93B4E"/>
    <w:rsid w:val="00CB3457"/>
    <w:rsid w:val="00CD058F"/>
    <w:rsid w:val="00CD0E14"/>
    <w:rsid w:val="00CD16E0"/>
    <w:rsid w:val="00CD2393"/>
    <w:rsid w:val="00CD3629"/>
    <w:rsid w:val="00CD69E8"/>
    <w:rsid w:val="00CE0043"/>
    <w:rsid w:val="00CF6446"/>
    <w:rsid w:val="00D0179A"/>
    <w:rsid w:val="00D01A22"/>
    <w:rsid w:val="00D03682"/>
    <w:rsid w:val="00D16A0C"/>
    <w:rsid w:val="00D24CD3"/>
    <w:rsid w:val="00D24DD6"/>
    <w:rsid w:val="00D31F4A"/>
    <w:rsid w:val="00D32112"/>
    <w:rsid w:val="00D3569F"/>
    <w:rsid w:val="00D36641"/>
    <w:rsid w:val="00D47217"/>
    <w:rsid w:val="00D55967"/>
    <w:rsid w:val="00D72E60"/>
    <w:rsid w:val="00D73C22"/>
    <w:rsid w:val="00DA0A20"/>
    <w:rsid w:val="00DA3822"/>
    <w:rsid w:val="00DB585A"/>
    <w:rsid w:val="00DC05FA"/>
    <w:rsid w:val="00DC0CB1"/>
    <w:rsid w:val="00DC3108"/>
    <w:rsid w:val="00DD1047"/>
    <w:rsid w:val="00DD1F62"/>
    <w:rsid w:val="00DD29B5"/>
    <w:rsid w:val="00DE3C4F"/>
    <w:rsid w:val="00DE696A"/>
    <w:rsid w:val="00DE6F9F"/>
    <w:rsid w:val="00E00D23"/>
    <w:rsid w:val="00E142C3"/>
    <w:rsid w:val="00E15CF8"/>
    <w:rsid w:val="00E20CE2"/>
    <w:rsid w:val="00E24F97"/>
    <w:rsid w:val="00E365E1"/>
    <w:rsid w:val="00E42D15"/>
    <w:rsid w:val="00E430EE"/>
    <w:rsid w:val="00E57A08"/>
    <w:rsid w:val="00E731E8"/>
    <w:rsid w:val="00E77A15"/>
    <w:rsid w:val="00E93A06"/>
    <w:rsid w:val="00EA08D9"/>
    <w:rsid w:val="00EA3298"/>
    <w:rsid w:val="00EB6A83"/>
    <w:rsid w:val="00EC0A02"/>
    <w:rsid w:val="00EC0C82"/>
    <w:rsid w:val="00EC14BF"/>
    <w:rsid w:val="00ED6E4B"/>
    <w:rsid w:val="00EE3000"/>
    <w:rsid w:val="00EF3653"/>
    <w:rsid w:val="00EF5325"/>
    <w:rsid w:val="00EF6F4F"/>
    <w:rsid w:val="00F00541"/>
    <w:rsid w:val="00F13F91"/>
    <w:rsid w:val="00F14371"/>
    <w:rsid w:val="00F27C14"/>
    <w:rsid w:val="00F34775"/>
    <w:rsid w:val="00F41601"/>
    <w:rsid w:val="00F743A0"/>
    <w:rsid w:val="00F81A64"/>
    <w:rsid w:val="00F82073"/>
    <w:rsid w:val="00F95636"/>
    <w:rsid w:val="00FA29B6"/>
    <w:rsid w:val="00FA4265"/>
    <w:rsid w:val="00FC2AA7"/>
    <w:rsid w:val="00FC453C"/>
    <w:rsid w:val="00FD7975"/>
    <w:rsid w:val="00FE1AEE"/>
    <w:rsid w:val="00FE70CB"/>
    <w:rsid w:val="00FF33A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C4C0"/>
  <w15:docId w15:val="{7D2EFD3D-F59B-43FA-9ACF-B54E011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A"/>
  </w:style>
  <w:style w:type="paragraph" w:styleId="1">
    <w:name w:val="heading 1"/>
    <w:basedOn w:val="a"/>
    <w:next w:val="a"/>
    <w:link w:val="10"/>
    <w:uiPriority w:val="9"/>
    <w:qFormat/>
    <w:rsid w:val="00052912"/>
    <w:pPr>
      <w:keepNext/>
      <w:spacing w:line="240" w:lineRule="auto"/>
      <w:contextualSpacing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B8A"/>
  </w:style>
  <w:style w:type="paragraph" w:styleId="a5">
    <w:name w:val="footer"/>
    <w:basedOn w:val="a"/>
    <w:link w:val="a6"/>
    <w:uiPriority w:val="99"/>
    <w:unhideWhenUsed/>
    <w:rsid w:val="005D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B8A"/>
  </w:style>
  <w:style w:type="paragraph" w:styleId="a7">
    <w:name w:val="Balloon Text"/>
    <w:basedOn w:val="a"/>
    <w:link w:val="a8"/>
    <w:uiPriority w:val="99"/>
    <w:semiHidden/>
    <w:unhideWhenUsed/>
    <w:rsid w:val="005D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B8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D7B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7B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7B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7B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7B8A"/>
    <w:rPr>
      <w:b/>
      <w:bCs/>
      <w:sz w:val="20"/>
      <w:szCs w:val="20"/>
    </w:rPr>
  </w:style>
  <w:style w:type="paragraph" w:customStyle="1" w:styleId="ConsPlusTitle">
    <w:name w:val="ConsPlusTitle"/>
    <w:rsid w:val="005D7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D7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5D7B8A"/>
    <w:pPr>
      <w:spacing w:after="0" w:line="240" w:lineRule="auto"/>
    </w:pPr>
  </w:style>
  <w:style w:type="table" w:styleId="af">
    <w:name w:val="Table Grid"/>
    <w:basedOn w:val="a1"/>
    <w:uiPriority w:val="39"/>
    <w:rsid w:val="005D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D7B8A"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5D7B8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D7B8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D7B8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D7B8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D7B8A"/>
    <w:rPr>
      <w:sz w:val="20"/>
      <w:szCs w:val="20"/>
    </w:rPr>
  </w:style>
  <w:style w:type="character" w:styleId="af6">
    <w:name w:val="footnote reference"/>
    <w:basedOn w:val="a0"/>
    <w:uiPriority w:val="99"/>
    <w:unhideWhenUsed/>
    <w:rsid w:val="005D7B8A"/>
    <w:rPr>
      <w:vertAlign w:val="superscript"/>
    </w:rPr>
  </w:style>
  <w:style w:type="paragraph" w:styleId="af7">
    <w:name w:val="List Paragraph"/>
    <w:aliases w:val="Bullet List,FooterText,numbered,Paragraphe de liste1,lp1,Абзац маркированнный"/>
    <w:basedOn w:val="a"/>
    <w:link w:val="af8"/>
    <w:uiPriority w:val="34"/>
    <w:qFormat/>
    <w:rsid w:val="005D7B8A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5D7B8A"/>
    <w:rPr>
      <w:color w:val="954F72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4A6F2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99"/>
    <w:rsid w:val="004A6F28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52912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0C6AF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Style10">
    <w:name w:val="Style10"/>
    <w:basedOn w:val="a"/>
    <w:rsid w:val="000C6AF3"/>
    <w:pPr>
      <w:widowControl w:val="0"/>
      <w:suppressAutoHyphens/>
      <w:spacing w:after="0" w:line="264" w:lineRule="exact"/>
      <w:ind w:hanging="37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Текст примечания Знак1"/>
    <w:uiPriority w:val="99"/>
    <w:semiHidden/>
    <w:rsid w:val="000C6AF3"/>
    <w:rPr>
      <w:lang w:eastAsia="ar-SA"/>
    </w:rPr>
  </w:style>
  <w:style w:type="character" w:customStyle="1" w:styleId="afc">
    <w:name w:val="Основной текст с отступом Знак"/>
    <w:rsid w:val="004E37D0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Абзац списка Знак"/>
    <w:aliases w:val="Bullet List Знак,FooterText Знак,numbered Знак,Paragraphe de liste1 Знак,lp1 Знак,Абзац маркированнный Знак"/>
    <w:link w:val="af7"/>
    <w:uiPriority w:val="34"/>
    <w:rsid w:val="001E112F"/>
  </w:style>
  <w:style w:type="character" w:customStyle="1" w:styleId="afd">
    <w:name w:val="Основной шрифт"/>
    <w:rsid w:val="00323005"/>
  </w:style>
  <w:style w:type="paragraph" w:customStyle="1" w:styleId="Times12">
    <w:name w:val="Times 12"/>
    <w:basedOn w:val="a"/>
    <w:uiPriority w:val="99"/>
    <w:qFormat/>
    <w:rsid w:val="00323005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afe">
    <w:name w:val="Пункт б/н"/>
    <w:basedOn w:val="a"/>
    <w:uiPriority w:val="99"/>
    <w:rsid w:val="00323005"/>
    <w:pPr>
      <w:tabs>
        <w:tab w:val="left" w:pos="1134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customStyle="1" w:styleId="13">
    <w:name w:val="Обычный1"/>
    <w:rsid w:val="00323005"/>
    <w:pPr>
      <w:keepLines/>
      <w:suppressAutoHyphen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"/>
    <w:next w:val="afa"/>
    <w:qFormat/>
    <w:rsid w:val="008000A4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93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">
    <w:name w:val="Основной текст_"/>
    <w:basedOn w:val="a0"/>
    <w:link w:val="15"/>
    <w:rsid w:val="005B123C"/>
    <w:rPr>
      <w:rFonts w:ascii="Arial" w:eastAsia="Arial" w:hAnsi="Arial" w:cs="Arial"/>
      <w:color w:val="29292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5B123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Arial" w:eastAsia="Arial" w:hAnsi="Arial" w:cs="Arial"/>
      <w:color w:val="292929"/>
    </w:rPr>
  </w:style>
  <w:style w:type="character" w:customStyle="1" w:styleId="ConsPlusNormal0">
    <w:name w:val="ConsPlusNormal Знак"/>
    <w:link w:val="ConsPlusNormal"/>
    <w:locked/>
    <w:rsid w:val="00710063"/>
    <w:rPr>
      <w:rFonts w:ascii="Calibri" w:eastAsia="Times New Roman" w:hAnsi="Calibri" w:cs="Calibri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3E3DB6"/>
    <w:pPr>
      <w:spacing w:after="0" w:line="276" w:lineRule="auto"/>
      <w:contextualSpacing/>
      <w:jc w:val="right"/>
    </w:pPr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8813-3EAA-4FE5-AF68-E6D2F058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1605</Words>
  <Characters>9155</Characters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2024-06-25T08:38:00Z</cp:lastPrinted>
  <dcterms:created xsi:type="dcterms:W3CDTF">2024-06-24T08:54:00Z</dcterms:created>
  <dcterms:modified xsi:type="dcterms:W3CDTF">2024-06-28T08:24:00Z</dcterms:modified>
</cp:coreProperties>
</file>