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51234" w:rsidRDefault="00AF371D" w:rsidP="009508FA">
      <w:pPr>
        <w:spacing w:line="240" w:lineRule="auto"/>
        <w:jc w:val="center"/>
        <w:rPr>
          <w:b/>
          <w:sz w:val="20"/>
          <w:szCs w:val="20"/>
        </w:rPr>
      </w:pPr>
      <w:r w:rsidRPr="00AB17A9">
        <w:rPr>
          <w:b/>
          <w:sz w:val="20"/>
          <w:szCs w:val="20"/>
        </w:rPr>
        <w:t>Техническое задание</w:t>
      </w:r>
    </w:p>
    <w:p w14:paraId="4FCDAA96" w14:textId="77777777" w:rsidR="006D45FB" w:rsidRPr="00AB17A9" w:rsidRDefault="006D45FB" w:rsidP="009508FA">
      <w:pPr>
        <w:spacing w:line="240" w:lineRule="auto"/>
        <w:jc w:val="both"/>
        <w:rPr>
          <w:b/>
          <w:sz w:val="20"/>
          <w:szCs w:val="20"/>
        </w:rPr>
      </w:pPr>
    </w:p>
    <w:p w14:paraId="00000002" w14:textId="711AA8C4" w:rsidR="00151234" w:rsidRPr="00AB17A9" w:rsidRDefault="00AF371D" w:rsidP="009508FA">
      <w:pPr>
        <w:spacing w:after="200" w:line="240" w:lineRule="auto"/>
        <w:jc w:val="both"/>
        <w:rPr>
          <w:sz w:val="20"/>
          <w:szCs w:val="20"/>
        </w:rPr>
      </w:pPr>
      <w:r w:rsidRPr="00AB17A9">
        <w:rPr>
          <w:sz w:val="20"/>
          <w:szCs w:val="20"/>
        </w:rPr>
        <w:t>г. Москва</w:t>
      </w:r>
      <w:r w:rsidR="006D45FB">
        <w:rPr>
          <w:sz w:val="20"/>
          <w:szCs w:val="20"/>
          <w:lang w:val="ru-RU"/>
        </w:rPr>
        <w:t xml:space="preserve">     </w:t>
      </w:r>
      <w:r w:rsidRPr="00AB17A9">
        <w:rPr>
          <w:sz w:val="20"/>
          <w:szCs w:val="20"/>
        </w:rPr>
        <w:t xml:space="preserve">     </w:t>
      </w:r>
      <w:r w:rsidRPr="00AB17A9">
        <w:rPr>
          <w:sz w:val="20"/>
          <w:szCs w:val="20"/>
        </w:rPr>
        <w:tab/>
        <w:t xml:space="preserve">       </w:t>
      </w:r>
      <w:r w:rsidRPr="00AB17A9">
        <w:rPr>
          <w:sz w:val="20"/>
          <w:szCs w:val="20"/>
        </w:rPr>
        <w:tab/>
        <w:t xml:space="preserve">                                                                                    </w:t>
      </w:r>
      <w:r w:rsidR="009508FA">
        <w:rPr>
          <w:sz w:val="20"/>
          <w:szCs w:val="20"/>
          <w:lang w:val="ru-RU"/>
        </w:rPr>
        <w:t xml:space="preserve">            </w:t>
      </w:r>
      <w:r w:rsidRPr="00AB17A9">
        <w:rPr>
          <w:sz w:val="20"/>
          <w:szCs w:val="20"/>
        </w:rPr>
        <w:t xml:space="preserve">  </w:t>
      </w:r>
      <w:r w:rsidR="006D45FB">
        <w:rPr>
          <w:sz w:val="20"/>
          <w:szCs w:val="20"/>
          <w:lang w:val="ru-RU"/>
        </w:rPr>
        <w:t>31</w:t>
      </w:r>
      <w:r w:rsidR="005201C8" w:rsidRPr="00AB17A9">
        <w:rPr>
          <w:sz w:val="20"/>
          <w:szCs w:val="20"/>
        </w:rPr>
        <w:t xml:space="preserve"> </w:t>
      </w:r>
      <w:proofErr w:type="spellStart"/>
      <w:r w:rsidRPr="00AB17A9">
        <w:rPr>
          <w:sz w:val="20"/>
          <w:szCs w:val="20"/>
        </w:rPr>
        <w:t>ию</w:t>
      </w:r>
      <w:proofErr w:type="spellEnd"/>
      <w:r w:rsidR="00AB17A9" w:rsidRPr="00AB17A9">
        <w:rPr>
          <w:sz w:val="20"/>
          <w:szCs w:val="20"/>
          <w:lang w:val="ru-RU"/>
        </w:rPr>
        <w:t>л</w:t>
      </w:r>
      <w:r w:rsidRPr="00AB17A9">
        <w:rPr>
          <w:sz w:val="20"/>
          <w:szCs w:val="20"/>
        </w:rPr>
        <w:t>я 2024 г.</w:t>
      </w:r>
    </w:p>
    <w:p w14:paraId="00000003" w14:textId="77777777" w:rsidR="00151234" w:rsidRPr="00AB17A9" w:rsidRDefault="00AF371D" w:rsidP="009508FA">
      <w:pPr>
        <w:spacing w:after="200" w:line="240" w:lineRule="auto"/>
        <w:jc w:val="both"/>
        <w:rPr>
          <w:sz w:val="20"/>
          <w:szCs w:val="20"/>
        </w:rPr>
      </w:pPr>
      <w:r w:rsidRPr="00AB17A9">
        <w:rPr>
          <w:sz w:val="20"/>
          <w:szCs w:val="20"/>
        </w:rPr>
        <w:t xml:space="preserve"> </w:t>
      </w:r>
    </w:p>
    <w:p w14:paraId="00000004" w14:textId="44166AC8" w:rsidR="00151234" w:rsidRDefault="00AF371D" w:rsidP="009508FA">
      <w:pPr>
        <w:spacing w:after="200" w:line="240" w:lineRule="auto"/>
        <w:jc w:val="both"/>
        <w:rPr>
          <w:sz w:val="20"/>
          <w:szCs w:val="20"/>
        </w:rPr>
      </w:pPr>
      <w:r w:rsidRPr="000F1A57">
        <w:rPr>
          <w:sz w:val="20"/>
          <w:szCs w:val="20"/>
        </w:rPr>
        <w:t xml:space="preserve">Холдинг Т1 настоящим объявляет о проведении RFP — запроса предложений и приглашает юридических лиц подавать </w:t>
      </w:r>
      <w:r w:rsidR="000F1A57" w:rsidRPr="000F1A57">
        <w:rPr>
          <w:sz w:val="20"/>
          <w:szCs w:val="20"/>
          <w:lang w:val="ru-RU"/>
        </w:rPr>
        <w:t>заявки</w:t>
      </w:r>
      <w:r w:rsidRPr="000F1A57">
        <w:rPr>
          <w:sz w:val="20"/>
          <w:szCs w:val="20"/>
        </w:rPr>
        <w:t xml:space="preserve"> для заключения договора по </w:t>
      </w:r>
      <w:r w:rsidR="000F1A57" w:rsidRPr="000F1A57">
        <w:rPr>
          <w:sz w:val="20"/>
          <w:szCs w:val="20"/>
          <w:lang w:val="ru-RU"/>
        </w:rPr>
        <w:t xml:space="preserve">коммуникационному </w:t>
      </w:r>
      <w:r w:rsidRPr="000F1A57">
        <w:rPr>
          <w:sz w:val="20"/>
          <w:szCs w:val="20"/>
        </w:rPr>
        <w:t xml:space="preserve">сопровождению в </w:t>
      </w:r>
      <w:r w:rsidR="000F1A57" w:rsidRPr="000F1A57">
        <w:rPr>
          <w:sz w:val="20"/>
          <w:szCs w:val="20"/>
          <w:lang w:val="ru-RU"/>
        </w:rPr>
        <w:t xml:space="preserve">новых медиа в </w:t>
      </w:r>
      <w:r w:rsidRPr="000F1A57">
        <w:rPr>
          <w:sz w:val="20"/>
          <w:szCs w:val="20"/>
        </w:rPr>
        <w:t>соответствии с описанием и спецификацией.</w:t>
      </w:r>
    </w:p>
    <w:p w14:paraId="3E945312" w14:textId="64CA5821" w:rsidR="006D45FB" w:rsidRPr="00493E76" w:rsidRDefault="006D45FB" w:rsidP="009508FA">
      <w:pPr>
        <w:pStyle w:val="ad"/>
        <w:numPr>
          <w:ilvl w:val="0"/>
          <w:numId w:val="9"/>
        </w:numPr>
        <w:pBdr>
          <w:top w:val="nil"/>
          <w:left w:val="nil"/>
          <w:bottom w:val="nil"/>
          <w:right w:val="nil"/>
          <w:between w:val="nil"/>
        </w:pBdr>
        <w:spacing w:before="240" w:after="120" w:line="240" w:lineRule="auto"/>
        <w:jc w:val="both"/>
        <w:rPr>
          <w:color w:val="000000"/>
          <w:sz w:val="20"/>
          <w:szCs w:val="20"/>
        </w:rPr>
      </w:pPr>
      <w:r w:rsidRPr="00493E76">
        <w:rPr>
          <w:b/>
          <w:color w:val="000000"/>
          <w:sz w:val="20"/>
          <w:szCs w:val="20"/>
        </w:rPr>
        <w:t>ОБЩАЯ ИНФОРМАЦИЯ О ЗАКАЗЧИКЕ</w:t>
      </w:r>
      <w:r w:rsidR="00DD5E13">
        <w:rPr>
          <w:b/>
          <w:color w:val="000000"/>
          <w:sz w:val="20"/>
          <w:szCs w:val="20"/>
          <w:lang w:val="ru-RU"/>
        </w:rPr>
        <w:t>:</w:t>
      </w:r>
    </w:p>
    <w:p w14:paraId="5B43A79D" w14:textId="77777777" w:rsidR="006D45FB" w:rsidRPr="00493E76" w:rsidRDefault="006D45FB" w:rsidP="009508FA">
      <w:pPr>
        <w:pBdr>
          <w:top w:val="nil"/>
          <w:left w:val="nil"/>
          <w:bottom w:val="nil"/>
          <w:right w:val="nil"/>
          <w:between w:val="nil"/>
        </w:pBdr>
        <w:spacing w:before="240" w:after="120" w:line="240" w:lineRule="auto"/>
        <w:ind w:left="426"/>
        <w:jc w:val="both"/>
        <w:rPr>
          <w:b/>
          <w:color w:val="000000"/>
          <w:sz w:val="20"/>
          <w:szCs w:val="20"/>
        </w:rPr>
      </w:pPr>
      <w:r w:rsidRPr="00493E76">
        <w:rPr>
          <w:b/>
          <w:color w:val="000000"/>
          <w:sz w:val="20"/>
          <w:szCs w:val="20"/>
        </w:rPr>
        <w:t>О Холдинге Т1</w:t>
      </w:r>
    </w:p>
    <w:p w14:paraId="4D821637" w14:textId="77777777" w:rsidR="006D45FB" w:rsidRPr="00493E76" w:rsidRDefault="006D45FB" w:rsidP="009508FA">
      <w:pPr>
        <w:numPr>
          <w:ilvl w:val="0"/>
          <w:numId w:val="7"/>
        </w:numPr>
        <w:pBdr>
          <w:top w:val="nil"/>
          <w:left w:val="nil"/>
          <w:bottom w:val="nil"/>
          <w:right w:val="nil"/>
          <w:between w:val="nil"/>
        </w:pBdr>
        <w:spacing w:line="240" w:lineRule="auto"/>
        <w:ind w:left="426" w:right="-138" w:firstLine="0"/>
        <w:jc w:val="both"/>
        <w:rPr>
          <w:sz w:val="20"/>
          <w:szCs w:val="20"/>
        </w:rPr>
      </w:pPr>
      <w:r w:rsidRPr="00493E76">
        <w:rPr>
          <w:sz w:val="20"/>
          <w:szCs w:val="20"/>
        </w:rPr>
        <w:t xml:space="preserve">Т1 – </w:t>
      </w:r>
      <w:r w:rsidRPr="00493E76">
        <w:rPr>
          <w:b/>
          <w:sz w:val="20"/>
          <w:szCs w:val="20"/>
        </w:rPr>
        <w:t>многопрофильный холдинг</w:t>
      </w:r>
      <w:r w:rsidRPr="00493E76">
        <w:rPr>
          <w:sz w:val="20"/>
          <w:szCs w:val="20"/>
        </w:rPr>
        <w:t xml:space="preserve">, один из лидеров российского ИТ-рынка, </w:t>
      </w:r>
      <w:r w:rsidRPr="00493E76">
        <w:rPr>
          <w:b/>
          <w:sz w:val="20"/>
          <w:szCs w:val="20"/>
        </w:rPr>
        <w:t>является партнером ключевых производителей и разработчиков в сфере информационных технологий</w:t>
      </w:r>
      <w:r w:rsidRPr="00493E76">
        <w:rPr>
          <w:sz w:val="20"/>
          <w:szCs w:val="20"/>
        </w:rPr>
        <w:t>.</w:t>
      </w:r>
    </w:p>
    <w:p w14:paraId="129B1034" w14:textId="77777777" w:rsidR="006D45FB" w:rsidRPr="00493E76" w:rsidRDefault="006D45FB" w:rsidP="009508FA">
      <w:pPr>
        <w:numPr>
          <w:ilvl w:val="0"/>
          <w:numId w:val="7"/>
        </w:numPr>
        <w:spacing w:line="240" w:lineRule="auto"/>
        <w:ind w:left="426" w:right="-138" w:firstLine="0"/>
        <w:jc w:val="both"/>
        <w:rPr>
          <w:sz w:val="20"/>
          <w:szCs w:val="20"/>
        </w:rPr>
      </w:pPr>
      <w:r w:rsidRPr="00493E76">
        <w:rPr>
          <w:sz w:val="20"/>
          <w:szCs w:val="20"/>
        </w:rPr>
        <w:t>Компании холдинга начинают историю</w:t>
      </w:r>
      <w:r w:rsidRPr="00493E76">
        <w:rPr>
          <w:b/>
          <w:sz w:val="20"/>
          <w:szCs w:val="20"/>
        </w:rPr>
        <w:t xml:space="preserve"> с 1992 г</w:t>
      </w:r>
      <w:r w:rsidRPr="00493E76">
        <w:rPr>
          <w:sz w:val="20"/>
          <w:szCs w:val="20"/>
        </w:rPr>
        <w:t>.</w:t>
      </w:r>
    </w:p>
    <w:p w14:paraId="61C954A9" w14:textId="01620B3D" w:rsidR="006D45FB" w:rsidRPr="00493E76" w:rsidRDefault="006D45FB" w:rsidP="009508FA">
      <w:pPr>
        <w:numPr>
          <w:ilvl w:val="0"/>
          <w:numId w:val="7"/>
        </w:numPr>
        <w:spacing w:line="240" w:lineRule="auto"/>
        <w:ind w:left="426" w:right="-138" w:firstLine="0"/>
        <w:jc w:val="both"/>
        <w:rPr>
          <w:sz w:val="20"/>
          <w:szCs w:val="20"/>
        </w:rPr>
      </w:pPr>
      <w:r w:rsidRPr="00493E76">
        <w:rPr>
          <w:sz w:val="20"/>
          <w:szCs w:val="20"/>
        </w:rPr>
        <w:t>В штате —</w:t>
      </w:r>
      <w:r w:rsidRPr="00493E76">
        <w:rPr>
          <w:b/>
          <w:sz w:val="20"/>
          <w:szCs w:val="20"/>
        </w:rPr>
        <w:t xml:space="preserve"> более 23 тысяч сотрудников</w:t>
      </w:r>
      <w:r w:rsidRPr="00493E76">
        <w:rPr>
          <w:sz w:val="20"/>
          <w:szCs w:val="20"/>
        </w:rPr>
        <w:t>.</w:t>
      </w:r>
    </w:p>
    <w:p w14:paraId="03C1B2F6" w14:textId="51C1A186" w:rsidR="006D45FB" w:rsidRPr="00493E76" w:rsidRDefault="006D45FB" w:rsidP="009508FA">
      <w:pPr>
        <w:numPr>
          <w:ilvl w:val="0"/>
          <w:numId w:val="7"/>
        </w:numPr>
        <w:spacing w:line="240" w:lineRule="auto"/>
        <w:ind w:left="426" w:right="-138" w:firstLine="0"/>
        <w:jc w:val="both"/>
        <w:rPr>
          <w:sz w:val="20"/>
          <w:szCs w:val="20"/>
        </w:rPr>
      </w:pPr>
      <w:r w:rsidRPr="00493E76">
        <w:rPr>
          <w:sz w:val="20"/>
          <w:szCs w:val="20"/>
        </w:rPr>
        <w:t xml:space="preserve">По </w:t>
      </w:r>
      <w:r w:rsidR="008D70C3">
        <w:rPr>
          <w:sz w:val="20"/>
          <w:szCs w:val="20"/>
          <w:lang w:val="ru-RU"/>
        </w:rPr>
        <w:t>данным</w:t>
      </w:r>
      <w:r w:rsidR="008D70C3" w:rsidRPr="00493E76">
        <w:rPr>
          <w:sz w:val="20"/>
          <w:szCs w:val="20"/>
        </w:rPr>
        <w:t xml:space="preserve"> </w:t>
      </w:r>
      <w:r w:rsidRPr="00493E76">
        <w:rPr>
          <w:sz w:val="20"/>
          <w:szCs w:val="20"/>
        </w:rPr>
        <w:t xml:space="preserve">аналитических агентств CNews Analytics RAEX, Т1 </w:t>
      </w:r>
      <w:r w:rsidR="008D70C3">
        <w:rPr>
          <w:b/>
          <w:sz w:val="20"/>
          <w:szCs w:val="20"/>
          <w:lang w:val="ru-RU"/>
        </w:rPr>
        <w:t>является</w:t>
      </w:r>
      <w:r w:rsidRPr="00493E76">
        <w:rPr>
          <w:b/>
          <w:sz w:val="20"/>
          <w:szCs w:val="20"/>
        </w:rPr>
        <w:t xml:space="preserve"> </w:t>
      </w:r>
      <w:proofErr w:type="spellStart"/>
      <w:r w:rsidRPr="00493E76">
        <w:rPr>
          <w:b/>
          <w:sz w:val="20"/>
          <w:szCs w:val="20"/>
        </w:rPr>
        <w:t>крупнейш</w:t>
      </w:r>
      <w:proofErr w:type="spellEnd"/>
      <w:r w:rsidR="008D70C3">
        <w:rPr>
          <w:b/>
          <w:sz w:val="20"/>
          <w:szCs w:val="20"/>
          <w:lang w:val="ru-RU"/>
        </w:rPr>
        <w:t>ей</w:t>
      </w:r>
      <w:r w:rsidRPr="00493E76">
        <w:rPr>
          <w:b/>
          <w:sz w:val="20"/>
          <w:szCs w:val="20"/>
        </w:rPr>
        <w:t xml:space="preserve"> </w:t>
      </w:r>
      <w:proofErr w:type="spellStart"/>
      <w:r w:rsidRPr="00493E76">
        <w:rPr>
          <w:b/>
          <w:sz w:val="20"/>
          <w:szCs w:val="20"/>
        </w:rPr>
        <w:t>российск</w:t>
      </w:r>
      <w:proofErr w:type="spellEnd"/>
      <w:r w:rsidR="008D70C3">
        <w:rPr>
          <w:b/>
          <w:sz w:val="20"/>
          <w:szCs w:val="20"/>
          <w:lang w:val="ru-RU"/>
        </w:rPr>
        <w:t>ой</w:t>
      </w:r>
      <w:r w:rsidRPr="00493E76">
        <w:rPr>
          <w:b/>
          <w:sz w:val="20"/>
          <w:szCs w:val="20"/>
        </w:rPr>
        <w:t xml:space="preserve"> ИТ-</w:t>
      </w:r>
      <w:proofErr w:type="spellStart"/>
      <w:r w:rsidRPr="00493E76">
        <w:rPr>
          <w:b/>
          <w:sz w:val="20"/>
          <w:szCs w:val="20"/>
        </w:rPr>
        <w:t>компани</w:t>
      </w:r>
      <w:proofErr w:type="spellEnd"/>
      <w:r w:rsidR="008D70C3">
        <w:rPr>
          <w:b/>
          <w:sz w:val="20"/>
          <w:szCs w:val="20"/>
          <w:lang w:val="ru-RU"/>
        </w:rPr>
        <w:t>ей</w:t>
      </w:r>
      <w:r w:rsidRPr="00493E76">
        <w:rPr>
          <w:b/>
          <w:sz w:val="20"/>
          <w:szCs w:val="20"/>
        </w:rPr>
        <w:t>.</w:t>
      </w:r>
    </w:p>
    <w:p w14:paraId="38FB397F" w14:textId="77777777" w:rsidR="006D45FB" w:rsidRPr="00493E76" w:rsidRDefault="006D45FB" w:rsidP="009508FA">
      <w:pPr>
        <w:numPr>
          <w:ilvl w:val="0"/>
          <w:numId w:val="7"/>
        </w:numPr>
        <w:pBdr>
          <w:top w:val="nil"/>
          <w:left w:val="nil"/>
          <w:bottom w:val="nil"/>
          <w:right w:val="nil"/>
          <w:between w:val="nil"/>
        </w:pBdr>
        <w:spacing w:line="240" w:lineRule="auto"/>
        <w:ind w:left="426" w:right="-138" w:firstLine="0"/>
        <w:jc w:val="both"/>
        <w:rPr>
          <w:sz w:val="20"/>
          <w:szCs w:val="20"/>
        </w:rPr>
      </w:pPr>
      <w:r w:rsidRPr="00493E76">
        <w:rPr>
          <w:sz w:val="20"/>
          <w:szCs w:val="20"/>
        </w:rPr>
        <w:t xml:space="preserve">Т1 предоставляет </w:t>
      </w:r>
      <w:r w:rsidRPr="00493E76">
        <w:rPr>
          <w:b/>
          <w:sz w:val="20"/>
          <w:szCs w:val="20"/>
        </w:rPr>
        <w:t>полный спектр ИТ-услуг</w:t>
      </w:r>
      <w:r w:rsidRPr="00493E76">
        <w:rPr>
          <w:sz w:val="20"/>
          <w:szCs w:val="20"/>
        </w:rPr>
        <w:t xml:space="preserve"> для реализации высокотехнологичных проектов с учетом отраслевой специфики заказчиков.</w:t>
      </w:r>
    </w:p>
    <w:p w14:paraId="18D98479" w14:textId="77777777" w:rsidR="006D45FB" w:rsidRPr="00493E76" w:rsidRDefault="006D45FB" w:rsidP="009508FA">
      <w:pPr>
        <w:numPr>
          <w:ilvl w:val="0"/>
          <w:numId w:val="7"/>
        </w:numPr>
        <w:pBdr>
          <w:top w:val="nil"/>
          <w:left w:val="nil"/>
          <w:bottom w:val="nil"/>
          <w:right w:val="nil"/>
          <w:between w:val="nil"/>
        </w:pBdr>
        <w:spacing w:line="240" w:lineRule="auto"/>
        <w:ind w:left="426" w:right="-138" w:firstLine="0"/>
        <w:jc w:val="both"/>
        <w:rPr>
          <w:sz w:val="20"/>
          <w:szCs w:val="20"/>
        </w:rPr>
      </w:pPr>
      <w:r w:rsidRPr="00493E76">
        <w:rPr>
          <w:sz w:val="20"/>
          <w:szCs w:val="20"/>
        </w:rPr>
        <w:t xml:space="preserve">Компетенции холдинга позволяют </w:t>
      </w:r>
      <w:r w:rsidRPr="00493E76">
        <w:rPr>
          <w:b/>
          <w:sz w:val="20"/>
          <w:szCs w:val="20"/>
        </w:rPr>
        <w:t>проектировать и реализовывать комплексные проекты в области цифровой трансформации</w:t>
      </w:r>
      <w:r w:rsidRPr="00493E76">
        <w:rPr>
          <w:sz w:val="20"/>
          <w:szCs w:val="20"/>
        </w:rPr>
        <w:t xml:space="preserve"> для заказчиков любой отрасли, уровня развития инфраструктуры и масштаба.</w:t>
      </w:r>
    </w:p>
    <w:p w14:paraId="6BBBC66F" w14:textId="77777777" w:rsidR="006D45FB" w:rsidRPr="00493E76" w:rsidRDefault="006D45FB" w:rsidP="009508FA">
      <w:pPr>
        <w:numPr>
          <w:ilvl w:val="0"/>
          <w:numId w:val="7"/>
        </w:numPr>
        <w:pBdr>
          <w:top w:val="nil"/>
          <w:left w:val="nil"/>
          <w:bottom w:val="nil"/>
          <w:right w:val="nil"/>
          <w:between w:val="nil"/>
        </w:pBdr>
        <w:spacing w:line="240" w:lineRule="auto"/>
        <w:ind w:left="426" w:right="-138" w:firstLine="0"/>
        <w:jc w:val="both"/>
        <w:rPr>
          <w:sz w:val="20"/>
          <w:szCs w:val="20"/>
        </w:rPr>
      </w:pPr>
      <w:r w:rsidRPr="00493E76">
        <w:rPr>
          <w:sz w:val="20"/>
          <w:szCs w:val="20"/>
        </w:rPr>
        <w:t xml:space="preserve">Среди заказчиков Т1 – </w:t>
      </w:r>
      <w:r w:rsidRPr="00493E76">
        <w:rPr>
          <w:b/>
          <w:sz w:val="20"/>
          <w:szCs w:val="20"/>
        </w:rPr>
        <w:t>государственные структуры и крупнейшие компании ключевых отраслей экономики</w:t>
      </w:r>
      <w:r w:rsidRPr="00493E76">
        <w:rPr>
          <w:sz w:val="20"/>
          <w:szCs w:val="20"/>
        </w:rPr>
        <w:t>: операторы связи, финансовые организации, промышленные, топливно-энергетические, транспортные и торговые предприятия.</w:t>
      </w:r>
    </w:p>
    <w:p w14:paraId="1DB87E2C" w14:textId="3FE58FCC" w:rsidR="006D45FB" w:rsidRPr="00493E76" w:rsidRDefault="006D45FB" w:rsidP="009508FA">
      <w:pPr>
        <w:pStyle w:val="ad"/>
        <w:numPr>
          <w:ilvl w:val="0"/>
          <w:numId w:val="9"/>
        </w:numPr>
        <w:pBdr>
          <w:top w:val="nil"/>
          <w:left w:val="nil"/>
          <w:bottom w:val="nil"/>
          <w:right w:val="nil"/>
          <w:between w:val="nil"/>
        </w:pBdr>
        <w:spacing w:before="240" w:after="120" w:line="240" w:lineRule="auto"/>
        <w:jc w:val="both"/>
        <w:rPr>
          <w:b/>
          <w:color w:val="000000"/>
          <w:sz w:val="20"/>
          <w:szCs w:val="20"/>
        </w:rPr>
      </w:pPr>
      <w:r w:rsidRPr="00493E76">
        <w:rPr>
          <w:b/>
          <w:color w:val="000000"/>
          <w:sz w:val="20"/>
          <w:szCs w:val="20"/>
        </w:rPr>
        <w:t>СТРУКТУРА ХОЛДИНГА Т1 – КОММУНИКАЦИОННЫЕ ОБЪЕКТЫ ПРОДВИЖЕНИЯ</w:t>
      </w:r>
      <w:r w:rsidR="00DD5E13">
        <w:rPr>
          <w:b/>
          <w:color w:val="000000"/>
          <w:sz w:val="20"/>
          <w:szCs w:val="20"/>
          <w:lang w:val="ru-RU"/>
        </w:rPr>
        <w:t>:</w:t>
      </w:r>
      <w:r w:rsidRPr="00493E76">
        <w:rPr>
          <w:b/>
          <w:color w:val="000000"/>
          <w:sz w:val="20"/>
          <w:szCs w:val="20"/>
        </w:rPr>
        <w:t xml:space="preserve"> </w:t>
      </w:r>
    </w:p>
    <w:p w14:paraId="49CD1C8D" w14:textId="77777777" w:rsidR="006D45FB" w:rsidRPr="00493E76" w:rsidRDefault="006D45FB" w:rsidP="009508FA">
      <w:pPr>
        <w:spacing w:line="240" w:lineRule="auto"/>
        <w:ind w:left="426" w:right="-138"/>
        <w:jc w:val="both"/>
        <w:rPr>
          <w:sz w:val="20"/>
          <w:szCs w:val="20"/>
        </w:rPr>
      </w:pPr>
      <w:r w:rsidRPr="00493E76">
        <w:rPr>
          <w:sz w:val="20"/>
          <w:szCs w:val="20"/>
        </w:rPr>
        <w:t xml:space="preserve">В состав холдинга входят бизнес-направления, которые обладают </w:t>
      </w:r>
      <w:r w:rsidRPr="00493E76">
        <w:rPr>
          <w:b/>
          <w:sz w:val="20"/>
          <w:szCs w:val="20"/>
        </w:rPr>
        <w:t>профессиональной экспертизой</w:t>
      </w:r>
      <w:r w:rsidRPr="00493E76">
        <w:rPr>
          <w:sz w:val="20"/>
          <w:szCs w:val="20"/>
        </w:rPr>
        <w:t xml:space="preserve"> в области </w:t>
      </w:r>
      <w:r w:rsidRPr="00493E76">
        <w:rPr>
          <w:b/>
          <w:sz w:val="20"/>
          <w:szCs w:val="20"/>
        </w:rPr>
        <w:t>разработки ПО</w:t>
      </w:r>
      <w:r w:rsidRPr="00493E76">
        <w:rPr>
          <w:sz w:val="20"/>
          <w:szCs w:val="20"/>
        </w:rPr>
        <w:t xml:space="preserve">, </w:t>
      </w:r>
      <w:r w:rsidRPr="00493E76">
        <w:rPr>
          <w:b/>
          <w:sz w:val="20"/>
          <w:szCs w:val="20"/>
        </w:rPr>
        <w:t>системной интеграции</w:t>
      </w:r>
      <w:r w:rsidRPr="00493E76">
        <w:rPr>
          <w:sz w:val="20"/>
          <w:szCs w:val="20"/>
        </w:rPr>
        <w:t xml:space="preserve">, </w:t>
      </w:r>
      <w:r w:rsidRPr="00493E76">
        <w:rPr>
          <w:b/>
          <w:sz w:val="20"/>
          <w:szCs w:val="20"/>
        </w:rPr>
        <w:t>Big Data</w:t>
      </w:r>
      <w:r w:rsidRPr="00493E76">
        <w:rPr>
          <w:sz w:val="20"/>
          <w:szCs w:val="20"/>
        </w:rPr>
        <w:t xml:space="preserve"> и </w:t>
      </w:r>
      <w:r w:rsidRPr="00493E76">
        <w:rPr>
          <w:b/>
          <w:sz w:val="20"/>
          <w:szCs w:val="20"/>
        </w:rPr>
        <w:t>машинного обучения</w:t>
      </w:r>
      <w:r w:rsidRPr="00493E76">
        <w:rPr>
          <w:sz w:val="20"/>
          <w:szCs w:val="20"/>
        </w:rPr>
        <w:t xml:space="preserve">, </w:t>
      </w:r>
      <w:r w:rsidRPr="00493E76">
        <w:rPr>
          <w:b/>
          <w:sz w:val="20"/>
          <w:szCs w:val="20"/>
        </w:rPr>
        <w:t>облачных сервисов</w:t>
      </w:r>
      <w:r w:rsidRPr="00493E76">
        <w:rPr>
          <w:sz w:val="20"/>
          <w:szCs w:val="20"/>
        </w:rPr>
        <w:t xml:space="preserve">, </w:t>
      </w:r>
      <w:r w:rsidRPr="00493E76">
        <w:rPr>
          <w:b/>
          <w:sz w:val="20"/>
          <w:szCs w:val="20"/>
        </w:rPr>
        <w:t>информационной безопасности</w:t>
      </w:r>
      <w:r w:rsidRPr="00493E76">
        <w:rPr>
          <w:sz w:val="20"/>
          <w:szCs w:val="20"/>
        </w:rPr>
        <w:t xml:space="preserve">, </w:t>
      </w:r>
      <w:r w:rsidRPr="00493E76">
        <w:rPr>
          <w:b/>
          <w:sz w:val="20"/>
          <w:szCs w:val="20"/>
        </w:rPr>
        <w:t>консалтинга</w:t>
      </w:r>
      <w:r w:rsidRPr="00493E76">
        <w:rPr>
          <w:sz w:val="20"/>
          <w:szCs w:val="20"/>
        </w:rPr>
        <w:t xml:space="preserve">, </w:t>
      </w:r>
      <w:r w:rsidRPr="00493E76">
        <w:rPr>
          <w:b/>
          <w:sz w:val="20"/>
          <w:szCs w:val="20"/>
        </w:rPr>
        <w:t>сервисной поддержки и аутсорсинга</w:t>
      </w:r>
      <w:r w:rsidRPr="00493E76">
        <w:rPr>
          <w:sz w:val="20"/>
          <w:szCs w:val="20"/>
        </w:rPr>
        <w:t xml:space="preserve">, </w:t>
      </w:r>
      <w:r w:rsidRPr="00493E76">
        <w:rPr>
          <w:b/>
          <w:sz w:val="20"/>
          <w:szCs w:val="20"/>
        </w:rPr>
        <w:t>процессинга</w:t>
      </w:r>
      <w:r w:rsidRPr="00493E76">
        <w:rPr>
          <w:sz w:val="20"/>
          <w:szCs w:val="20"/>
        </w:rPr>
        <w:t xml:space="preserve">, </w:t>
      </w:r>
      <w:r w:rsidRPr="00493E76">
        <w:rPr>
          <w:b/>
          <w:sz w:val="20"/>
          <w:szCs w:val="20"/>
        </w:rPr>
        <w:t>дистанционного зондирования Земли</w:t>
      </w:r>
      <w:r w:rsidRPr="00493E76">
        <w:rPr>
          <w:sz w:val="20"/>
          <w:szCs w:val="20"/>
        </w:rPr>
        <w:t xml:space="preserve"> (ДЗЗ):</w:t>
      </w:r>
    </w:p>
    <w:p w14:paraId="5CCD1A66" w14:textId="77777777" w:rsidR="006D45FB" w:rsidRPr="00493E76" w:rsidRDefault="006D45FB" w:rsidP="009508FA">
      <w:pPr>
        <w:pBdr>
          <w:top w:val="nil"/>
          <w:left w:val="nil"/>
          <w:bottom w:val="nil"/>
          <w:right w:val="nil"/>
          <w:between w:val="nil"/>
        </w:pBdr>
        <w:spacing w:line="240" w:lineRule="auto"/>
        <w:ind w:left="426" w:right="-138"/>
        <w:jc w:val="both"/>
        <w:rPr>
          <w:sz w:val="20"/>
          <w:szCs w:val="20"/>
        </w:rPr>
      </w:pPr>
    </w:p>
    <w:p w14:paraId="437A9857" w14:textId="77777777" w:rsidR="006D45FB" w:rsidRPr="00493E76" w:rsidRDefault="006D45FB" w:rsidP="009508FA">
      <w:pPr>
        <w:pStyle w:val="ad"/>
        <w:numPr>
          <w:ilvl w:val="0"/>
          <w:numId w:val="8"/>
        </w:numPr>
        <w:pBdr>
          <w:top w:val="nil"/>
          <w:left w:val="nil"/>
          <w:bottom w:val="nil"/>
          <w:right w:val="nil"/>
          <w:between w:val="nil"/>
        </w:pBdr>
        <w:spacing w:after="200" w:line="240" w:lineRule="auto"/>
        <w:ind w:right="-138"/>
        <w:jc w:val="both"/>
        <w:rPr>
          <w:color w:val="000000"/>
          <w:sz w:val="20"/>
          <w:szCs w:val="20"/>
        </w:rPr>
      </w:pPr>
      <w:r w:rsidRPr="00493E76">
        <w:rPr>
          <w:b/>
          <w:sz w:val="20"/>
          <w:szCs w:val="20"/>
        </w:rPr>
        <w:t>Т1 Интеграция</w:t>
      </w:r>
      <w:r w:rsidRPr="00493E76">
        <w:rPr>
          <w:sz w:val="20"/>
          <w:szCs w:val="20"/>
        </w:rPr>
        <w:t xml:space="preserve"> — один из лидеров рынка системной интеграции в России, обладает большим набором компетенций, подтвержденных официальными статусами от ключевых производителей и разработчиков. Компания создана в 1992 г. Продуктовый портфель компании включает свыше 300 услуг и решений в области системной интеграции, промышленного инжиниринга, промышленной автоматизации, инженерной инфраструктуры, инженерного анализа, информационной безопасности, вычислительных комплексов, реляционных баз данных, роботизации рутинных операций, процессной аналитики Process Mining, сетевых технологий, мультимедиа и коммуникаций, систем управления ИТ и мониторинга и пр. Компанией реализовано более 2000 проектов в интересах заказчиков – государственных структур и крупнейших компаний ключевых отраслей экономики: операторы связи, финансовые организации, промышленные, топливно-энергетические, транспортные и торговые предприятия.</w:t>
      </w:r>
    </w:p>
    <w:p w14:paraId="513320EA" w14:textId="77777777" w:rsidR="006D45FB" w:rsidRPr="00493E76" w:rsidRDefault="006D45FB" w:rsidP="009508FA">
      <w:pPr>
        <w:pStyle w:val="ad"/>
        <w:spacing w:line="240" w:lineRule="auto"/>
        <w:jc w:val="both"/>
        <w:rPr>
          <w:b/>
          <w:sz w:val="20"/>
          <w:szCs w:val="20"/>
        </w:rPr>
      </w:pPr>
    </w:p>
    <w:p w14:paraId="31828CA5" w14:textId="77777777" w:rsidR="006D45FB" w:rsidRPr="00493E76" w:rsidRDefault="006D45FB" w:rsidP="009508FA">
      <w:pPr>
        <w:pStyle w:val="ad"/>
        <w:numPr>
          <w:ilvl w:val="0"/>
          <w:numId w:val="8"/>
        </w:numPr>
        <w:pBdr>
          <w:top w:val="nil"/>
          <w:left w:val="nil"/>
          <w:bottom w:val="nil"/>
          <w:right w:val="nil"/>
          <w:between w:val="nil"/>
        </w:pBdr>
        <w:spacing w:after="200" w:line="240" w:lineRule="auto"/>
        <w:ind w:right="-138"/>
        <w:jc w:val="both"/>
        <w:rPr>
          <w:color w:val="000000"/>
          <w:sz w:val="20"/>
          <w:szCs w:val="20"/>
        </w:rPr>
      </w:pPr>
      <w:r w:rsidRPr="00493E76">
        <w:rPr>
          <w:b/>
          <w:sz w:val="20"/>
          <w:szCs w:val="20"/>
        </w:rPr>
        <w:t>T1 Облако</w:t>
      </w:r>
      <w:r w:rsidRPr="00493E76">
        <w:rPr>
          <w:sz w:val="20"/>
          <w:szCs w:val="20"/>
        </w:rPr>
        <w:t xml:space="preserve"> — один из ведущих российских провайдеров облачной инфраструктуры и сервисов. Входит в ТОП-5 </w:t>
      </w:r>
      <w:proofErr w:type="spellStart"/>
      <w:r w:rsidRPr="00493E76">
        <w:rPr>
          <w:sz w:val="20"/>
          <w:szCs w:val="20"/>
        </w:rPr>
        <w:t>IaaS</w:t>
      </w:r>
      <w:proofErr w:type="spellEnd"/>
      <w:r w:rsidRPr="00493E76">
        <w:rPr>
          <w:sz w:val="20"/>
          <w:szCs w:val="20"/>
        </w:rPr>
        <w:t xml:space="preserve">-провайдеров уровня </w:t>
      </w:r>
      <w:proofErr w:type="spellStart"/>
      <w:r w:rsidRPr="00493E76">
        <w:rPr>
          <w:sz w:val="20"/>
          <w:szCs w:val="20"/>
        </w:rPr>
        <w:t>Enterprise</w:t>
      </w:r>
      <w:proofErr w:type="spellEnd"/>
      <w:r w:rsidRPr="00493E76">
        <w:rPr>
          <w:sz w:val="20"/>
          <w:szCs w:val="20"/>
        </w:rPr>
        <w:t xml:space="preserve"> и ТОП-3 провайдеров по уровню SLA в России (Cnews Analytics, 2023). Клиенты T1 Облако — компании различных сегментов бизнеса и отраслей: финансовый сектор, ритейл, медицина и страхование, промышленность, ИТ и телеком. T1 Облако предоставляет полный портфель востребованных облачных услуг по моделям </w:t>
      </w:r>
      <w:proofErr w:type="spellStart"/>
      <w:r w:rsidRPr="00493E76">
        <w:rPr>
          <w:sz w:val="20"/>
          <w:szCs w:val="20"/>
        </w:rPr>
        <w:t>IaaS</w:t>
      </w:r>
      <w:proofErr w:type="spellEnd"/>
      <w:r w:rsidRPr="00493E76">
        <w:rPr>
          <w:sz w:val="20"/>
          <w:szCs w:val="20"/>
        </w:rPr>
        <w:t xml:space="preserve">, </w:t>
      </w:r>
      <w:proofErr w:type="spellStart"/>
      <w:r w:rsidRPr="00493E76">
        <w:rPr>
          <w:sz w:val="20"/>
          <w:szCs w:val="20"/>
        </w:rPr>
        <w:t>SaaS</w:t>
      </w:r>
      <w:proofErr w:type="spellEnd"/>
      <w:r w:rsidRPr="00493E76">
        <w:rPr>
          <w:sz w:val="20"/>
          <w:szCs w:val="20"/>
        </w:rPr>
        <w:t xml:space="preserve">, </w:t>
      </w:r>
      <w:proofErr w:type="spellStart"/>
      <w:r w:rsidRPr="00493E76">
        <w:rPr>
          <w:sz w:val="20"/>
          <w:szCs w:val="20"/>
        </w:rPr>
        <w:t>DBaaS</w:t>
      </w:r>
      <w:proofErr w:type="spellEnd"/>
      <w:r w:rsidRPr="00493E76">
        <w:rPr>
          <w:sz w:val="20"/>
          <w:szCs w:val="20"/>
        </w:rPr>
        <w:t xml:space="preserve">, </w:t>
      </w:r>
      <w:proofErr w:type="spellStart"/>
      <w:r w:rsidRPr="00493E76">
        <w:rPr>
          <w:sz w:val="20"/>
          <w:szCs w:val="20"/>
        </w:rPr>
        <w:t>PaaS</w:t>
      </w:r>
      <w:proofErr w:type="spellEnd"/>
      <w:r w:rsidRPr="00493E76">
        <w:rPr>
          <w:sz w:val="20"/>
          <w:szCs w:val="20"/>
        </w:rPr>
        <w:t xml:space="preserve">, сетевые сервисы CDN и стек </w:t>
      </w:r>
      <w:proofErr w:type="spellStart"/>
      <w:r w:rsidRPr="00493E76">
        <w:rPr>
          <w:sz w:val="20"/>
          <w:szCs w:val="20"/>
        </w:rPr>
        <w:t>импортонезависимых</w:t>
      </w:r>
      <w:proofErr w:type="spellEnd"/>
      <w:r w:rsidRPr="00493E76">
        <w:rPr>
          <w:sz w:val="20"/>
          <w:szCs w:val="20"/>
        </w:rPr>
        <w:t xml:space="preserve"> решений на базе отечественных разработок, куда входят: операционные системы Linux, система резервного копирования данных, объектное S3 хранилище, облачный диск, платформа для корпоративных коммуникаций и многое другое.</w:t>
      </w:r>
    </w:p>
    <w:p w14:paraId="785A7566" w14:textId="77777777" w:rsidR="006D45FB" w:rsidRPr="00493E76" w:rsidRDefault="006D45FB" w:rsidP="009508FA">
      <w:pPr>
        <w:pStyle w:val="ad"/>
        <w:spacing w:line="240" w:lineRule="auto"/>
        <w:jc w:val="both"/>
        <w:rPr>
          <w:color w:val="000000"/>
          <w:sz w:val="20"/>
          <w:szCs w:val="20"/>
        </w:rPr>
      </w:pPr>
    </w:p>
    <w:p w14:paraId="33703000" w14:textId="3CAFD886" w:rsidR="00136F00" w:rsidRPr="009508FA" w:rsidRDefault="006D45FB" w:rsidP="009508FA">
      <w:pPr>
        <w:pStyle w:val="ad"/>
        <w:numPr>
          <w:ilvl w:val="0"/>
          <w:numId w:val="8"/>
        </w:numPr>
        <w:pBdr>
          <w:top w:val="nil"/>
          <w:left w:val="nil"/>
          <w:bottom w:val="nil"/>
          <w:right w:val="nil"/>
          <w:between w:val="nil"/>
        </w:pBdr>
        <w:spacing w:after="200" w:line="240" w:lineRule="auto"/>
        <w:ind w:right="-138"/>
        <w:jc w:val="both"/>
        <w:rPr>
          <w:color w:val="000000"/>
          <w:sz w:val="20"/>
          <w:szCs w:val="20"/>
        </w:rPr>
      </w:pPr>
      <w:r w:rsidRPr="00493E76">
        <w:rPr>
          <w:b/>
          <w:sz w:val="20"/>
          <w:szCs w:val="20"/>
        </w:rPr>
        <w:t xml:space="preserve">Т1 </w:t>
      </w:r>
      <w:proofErr w:type="spellStart"/>
      <w:r w:rsidRPr="00493E76">
        <w:rPr>
          <w:b/>
          <w:sz w:val="20"/>
          <w:szCs w:val="20"/>
        </w:rPr>
        <w:t>Сервионика</w:t>
      </w:r>
      <w:proofErr w:type="spellEnd"/>
      <w:r w:rsidRPr="00493E76">
        <w:rPr>
          <w:sz w:val="20"/>
          <w:szCs w:val="20"/>
        </w:rPr>
        <w:t xml:space="preserve"> — ведущий российский провайдер полного спектра услуг в области ИТ-инфраструктуры и облачных вычислений для клиентов малого, среднего и крупного бизнеса, холдинговых структур и госсектора. В штате компании более 2000 инженеров, работающих на территории РФ. Региональная сеть аутсорсера включает более 65 обособленных подразделений, 350 + партнерских организаций, 80+ региональных складов и ЗИП, 276 точек присутствия инженеров. В структуре компании создан центр компетенций, а также круглосуточная служба поддержки, осуществляющая прием, регистрацию обращений и первичную поддержку в режиме 24/7. Проектный портфель компании состоит из более чем 700 контрактов в государственном и финансовом секторах, ритейле, телекоме, производственных компаниях, транспорте и логистике.</w:t>
      </w:r>
    </w:p>
    <w:p w14:paraId="0B3961F8" w14:textId="77777777" w:rsidR="00136F00" w:rsidRPr="00136F00" w:rsidRDefault="00136F00" w:rsidP="009508FA">
      <w:pPr>
        <w:pStyle w:val="ad"/>
        <w:pBdr>
          <w:top w:val="nil"/>
          <w:left w:val="nil"/>
          <w:bottom w:val="nil"/>
          <w:right w:val="nil"/>
          <w:between w:val="nil"/>
        </w:pBdr>
        <w:spacing w:after="200" w:line="240" w:lineRule="auto"/>
        <w:ind w:right="-138"/>
        <w:jc w:val="both"/>
        <w:rPr>
          <w:color w:val="000000"/>
          <w:sz w:val="20"/>
          <w:szCs w:val="20"/>
        </w:rPr>
      </w:pPr>
    </w:p>
    <w:p w14:paraId="3635FEC8" w14:textId="77777777" w:rsidR="006D45FB" w:rsidRPr="00493E76" w:rsidRDefault="006D45FB" w:rsidP="009508FA">
      <w:pPr>
        <w:pStyle w:val="ad"/>
        <w:numPr>
          <w:ilvl w:val="0"/>
          <w:numId w:val="8"/>
        </w:numPr>
        <w:pBdr>
          <w:top w:val="nil"/>
          <w:left w:val="nil"/>
          <w:bottom w:val="nil"/>
          <w:right w:val="nil"/>
          <w:between w:val="nil"/>
        </w:pBdr>
        <w:spacing w:after="200" w:line="240" w:lineRule="auto"/>
        <w:ind w:right="-138"/>
        <w:jc w:val="both"/>
        <w:rPr>
          <w:color w:val="000000"/>
          <w:sz w:val="20"/>
          <w:szCs w:val="20"/>
        </w:rPr>
      </w:pPr>
      <w:r>
        <w:rPr>
          <w:b/>
          <w:color w:val="000000"/>
          <w:sz w:val="20"/>
          <w:szCs w:val="20"/>
        </w:rPr>
        <w:t xml:space="preserve">Т1 </w:t>
      </w:r>
      <w:proofErr w:type="spellStart"/>
      <w:r w:rsidRPr="00493E76">
        <w:rPr>
          <w:b/>
          <w:color w:val="000000"/>
          <w:sz w:val="20"/>
          <w:szCs w:val="20"/>
        </w:rPr>
        <w:t>Иннотех</w:t>
      </w:r>
      <w:proofErr w:type="spellEnd"/>
      <w:r w:rsidRPr="00493E76">
        <w:rPr>
          <w:color w:val="000000"/>
          <w:sz w:val="20"/>
          <w:szCs w:val="20"/>
        </w:rPr>
        <w:t xml:space="preserve"> (Т1 </w:t>
      </w:r>
      <w:proofErr w:type="spellStart"/>
      <w:r w:rsidRPr="00493E76">
        <w:rPr>
          <w:color w:val="000000"/>
          <w:sz w:val="20"/>
          <w:szCs w:val="20"/>
        </w:rPr>
        <w:t>Иннотех</w:t>
      </w:r>
      <w:proofErr w:type="spellEnd"/>
      <w:r w:rsidRPr="00493E76">
        <w:rPr>
          <w:color w:val="000000"/>
          <w:sz w:val="20"/>
          <w:szCs w:val="20"/>
        </w:rPr>
        <w:t xml:space="preserve">, </w:t>
      </w:r>
      <w:proofErr w:type="spellStart"/>
      <w:r w:rsidRPr="00493E76">
        <w:rPr>
          <w:color w:val="000000"/>
          <w:sz w:val="20"/>
          <w:szCs w:val="20"/>
        </w:rPr>
        <w:t>Мультикарта</w:t>
      </w:r>
      <w:proofErr w:type="spellEnd"/>
      <w:r w:rsidRPr="00493E76">
        <w:rPr>
          <w:color w:val="000000"/>
          <w:sz w:val="20"/>
          <w:szCs w:val="20"/>
        </w:rPr>
        <w:t xml:space="preserve">) — это современная высокотехнологичная быстроразвивающаяся компания, создающая инновационные решения для цифровизации банковской отрасли и бизнеса. В продуктовом портфеле Т1 </w:t>
      </w:r>
      <w:proofErr w:type="spellStart"/>
      <w:r w:rsidRPr="00493E76">
        <w:rPr>
          <w:color w:val="000000"/>
          <w:sz w:val="20"/>
          <w:szCs w:val="20"/>
        </w:rPr>
        <w:t>Иннотех</w:t>
      </w:r>
      <w:proofErr w:type="spellEnd"/>
      <w:r w:rsidRPr="00493E76">
        <w:rPr>
          <w:color w:val="000000"/>
          <w:sz w:val="20"/>
          <w:szCs w:val="20"/>
        </w:rPr>
        <w:t xml:space="preserve"> — создание современных высоконагруженных фронтальных систем, </w:t>
      </w:r>
      <w:proofErr w:type="spellStart"/>
      <w:r w:rsidRPr="00493E76">
        <w:rPr>
          <w:color w:val="000000"/>
          <w:sz w:val="20"/>
          <w:szCs w:val="20"/>
        </w:rPr>
        <w:t>омниканальных</w:t>
      </w:r>
      <w:proofErr w:type="spellEnd"/>
      <w:r w:rsidRPr="00493E76">
        <w:rPr>
          <w:color w:val="000000"/>
          <w:sz w:val="20"/>
          <w:szCs w:val="20"/>
        </w:rPr>
        <w:t xml:space="preserve"> продуктов и высоконадежных платформ для поддержки банковского бизнеса. Для создания новых и совершенствования существующих мобильных решений используются современные технологии разработки программного обеспечения, доказавшие свою безопасность и эффективность. </w:t>
      </w:r>
    </w:p>
    <w:p w14:paraId="507C0995" w14:textId="77777777" w:rsidR="006D45FB" w:rsidRPr="00493E76" w:rsidRDefault="006D45FB" w:rsidP="009508FA">
      <w:pPr>
        <w:pStyle w:val="ad"/>
        <w:pBdr>
          <w:top w:val="nil"/>
          <w:left w:val="nil"/>
          <w:bottom w:val="nil"/>
          <w:right w:val="nil"/>
          <w:between w:val="nil"/>
        </w:pBdr>
        <w:spacing w:after="200" w:line="240" w:lineRule="auto"/>
        <w:ind w:right="-138"/>
        <w:jc w:val="both"/>
        <w:rPr>
          <w:color w:val="000000"/>
          <w:sz w:val="20"/>
          <w:szCs w:val="20"/>
        </w:rPr>
      </w:pPr>
    </w:p>
    <w:p w14:paraId="41888B8B" w14:textId="77777777" w:rsidR="006D45FB" w:rsidRPr="00493E76" w:rsidRDefault="006D45FB" w:rsidP="009508FA">
      <w:pPr>
        <w:pStyle w:val="ad"/>
        <w:pBdr>
          <w:top w:val="nil"/>
          <w:left w:val="nil"/>
          <w:bottom w:val="nil"/>
          <w:right w:val="nil"/>
          <w:between w:val="nil"/>
        </w:pBdr>
        <w:spacing w:after="200" w:line="240" w:lineRule="auto"/>
        <w:ind w:right="-138"/>
        <w:jc w:val="both"/>
        <w:rPr>
          <w:sz w:val="20"/>
          <w:szCs w:val="20"/>
        </w:rPr>
      </w:pPr>
      <w:r w:rsidRPr="00493E76">
        <w:rPr>
          <w:b/>
          <w:sz w:val="20"/>
          <w:szCs w:val="20"/>
        </w:rPr>
        <w:t>Мультикарта</w:t>
      </w:r>
      <w:r w:rsidRPr="00493E76">
        <w:rPr>
          <w:sz w:val="20"/>
          <w:szCs w:val="20"/>
        </w:rPr>
        <w:t xml:space="preserve"> — подразделение, обладающее экспертизой по технологиям электронных переводов денежных средств от покупателя продавцу. Мультикарта оказывает поддержку эмиссионных и эквайринговых программ для банка, управление сетями банкоматов и платёжных терминалов, сервисное обслуживание эквайрингового оборудования.</w:t>
      </w:r>
    </w:p>
    <w:p w14:paraId="2E5E3B59" w14:textId="77777777" w:rsidR="006D45FB" w:rsidRPr="00493E76" w:rsidRDefault="006D45FB" w:rsidP="009508FA">
      <w:pPr>
        <w:pStyle w:val="ad"/>
        <w:pBdr>
          <w:top w:val="nil"/>
          <w:left w:val="nil"/>
          <w:bottom w:val="nil"/>
          <w:right w:val="nil"/>
          <w:between w:val="nil"/>
        </w:pBdr>
        <w:spacing w:after="200" w:line="240" w:lineRule="auto"/>
        <w:ind w:right="-138"/>
        <w:jc w:val="both"/>
        <w:rPr>
          <w:color w:val="000000"/>
          <w:sz w:val="20"/>
          <w:szCs w:val="20"/>
        </w:rPr>
      </w:pPr>
    </w:p>
    <w:p w14:paraId="60209C3C" w14:textId="0A372CBE" w:rsidR="00136F00" w:rsidRPr="00136F00" w:rsidRDefault="00136F00" w:rsidP="009508FA">
      <w:pPr>
        <w:pStyle w:val="ad"/>
        <w:numPr>
          <w:ilvl w:val="0"/>
          <w:numId w:val="8"/>
        </w:numPr>
        <w:spacing w:after="200" w:line="240" w:lineRule="auto"/>
        <w:jc w:val="both"/>
        <w:rPr>
          <w:color w:val="000000"/>
          <w:sz w:val="20"/>
          <w:szCs w:val="20"/>
        </w:rPr>
      </w:pPr>
      <w:proofErr w:type="spellStart"/>
      <w:r w:rsidRPr="00136F00">
        <w:rPr>
          <w:b/>
          <w:bCs/>
          <w:color w:val="000000"/>
          <w:sz w:val="20"/>
          <w:szCs w:val="20"/>
        </w:rPr>
        <w:t>Мультипродуктовый</w:t>
      </w:r>
      <w:proofErr w:type="spellEnd"/>
      <w:r w:rsidRPr="00136F00">
        <w:rPr>
          <w:b/>
          <w:bCs/>
          <w:color w:val="000000"/>
          <w:sz w:val="20"/>
          <w:szCs w:val="20"/>
        </w:rPr>
        <w:t xml:space="preserve"> вендор НОТА</w:t>
      </w:r>
      <w:r w:rsidRPr="00136F00">
        <w:rPr>
          <w:color w:val="000000"/>
          <w:sz w:val="20"/>
          <w:szCs w:val="20"/>
        </w:rPr>
        <w:t>, который отвечает за развитие собственных программных продуктов и формирование внешней партнерской сети для дистрибуции и интеграции решений. На текущий момент продуктовая линейка НОТА включает в себя следующие решения:</w:t>
      </w:r>
    </w:p>
    <w:p w14:paraId="25FD79C1" w14:textId="77777777" w:rsidR="00136F00" w:rsidRDefault="00136F00" w:rsidP="009508FA">
      <w:pPr>
        <w:pStyle w:val="ad"/>
        <w:spacing w:after="200" w:line="240" w:lineRule="auto"/>
        <w:jc w:val="both"/>
        <w:rPr>
          <w:sz w:val="20"/>
        </w:rPr>
      </w:pPr>
    </w:p>
    <w:p w14:paraId="7A0FA228" w14:textId="77777777" w:rsidR="00136F00" w:rsidRDefault="00136F00" w:rsidP="009508FA">
      <w:pPr>
        <w:pStyle w:val="ad"/>
        <w:spacing w:after="200" w:line="240" w:lineRule="auto"/>
        <w:jc w:val="both"/>
        <w:rPr>
          <w:sz w:val="20"/>
          <w:szCs w:val="20"/>
        </w:rPr>
      </w:pPr>
      <w:r w:rsidRPr="00136F00">
        <w:rPr>
          <w:b/>
          <w:bCs/>
          <w:sz w:val="20"/>
          <w:szCs w:val="20"/>
        </w:rPr>
        <w:t>Платформа Сфера</w:t>
      </w:r>
      <w:r w:rsidRPr="00136F00">
        <w:rPr>
          <w:sz w:val="20"/>
          <w:szCs w:val="20"/>
        </w:rPr>
        <w:t xml:space="preserve"> (SFERA — </w:t>
      </w:r>
      <w:proofErr w:type="spellStart"/>
      <w:r w:rsidRPr="00136F00">
        <w:rPr>
          <w:sz w:val="20"/>
          <w:szCs w:val="20"/>
        </w:rPr>
        <w:t>Scaled</w:t>
      </w:r>
      <w:proofErr w:type="spellEnd"/>
      <w:r w:rsidRPr="00136F00">
        <w:rPr>
          <w:sz w:val="20"/>
          <w:szCs w:val="20"/>
        </w:rPr>
        <w:t xml:space="preserve"> </w:t>
      </w:r>
      <w:proofErr w:type="spellStart"/>
      <w:r w:rsidRPr="00136F00">
        <w:rPr>
          <w:sz w:val="20"/>
          <w:szCs w:val="20"/>
        </w:rPr>
        <w:t>Framework</w:t>
      </w:r>
      <w:proofErr w:type="spellEnd"/>
      <w:r w:rsidRPr="00136F00">
        <w:rPr>
          <w:sz w:val="20"/>
          <w:szCs w:val="20"/>
        </w:rPr>
        <w:t xml:space="preserve"> </w:t>
      </w:r>
      <w:proofErr w:type="spellStart"/>
      <w:r w:rsidRPr="00136F00">
        <w:rPr>
          <w:sz w:val="20"/>
          <w:szCs w:val="20"/>
        </w:rPr>
        <w:t>for</w:t>
      </w:r>
      <w:proofErr w:type="spellEnd"/>
      <w:r w:rsidRPr="00136F00">
        <w:rPr>
          <w:sz w:val="20"/>
          <w:szCs w:val="20"/>
        </w:rPr>
        <w:t xml:space="preserve"> </w:t>
      </w:r>
      <w:proofErr w:type="spellStart"/>
      <w:r w:rsidRPr="00136F00">
        <w:rPr>
          <w:sz w:val="20"/>
          <w:szCs w:val="20"/>
        </w:rPr>
        <w:t>Enterprise</w:t>
      </w:r>
      <w:proofErr w:type="spellEnd"/>
      <w:r w:rsidRPr="00136F00">
        <w:rPr>
          <w:sz w:val="20"/>
          <w:szCs w:val="20"/>
        </w:rPr>
        <w:t xml:space="preserve"> </w:t>
      </w:r>
      <w:proofErr w:type="spellStart"/>
      <w:r w:rsidRPr="00136F00">
        <w:rPr>
          <w:sz w:val="20"/>
          <w:szCs w:val="20"/>
        </w:rPr>
        <w:t>Resilience</w:t>
      </w:r>
      <w:proofErr w:type="spellEnd"/>
      <w:r w:rsidRPr="00136F00">
        <w:rPr>
          <w:sz w:val="20"/>
          <w:szCs w:val="20"/>
        </w:rPr>
        <w:t xml:space="preserve"> </w:t>
      </w:r>
      <w:proofErr w:type="spellStart"/>
      <w:r w:rsidRPr="00136F00">
        <w:rPr>
          <w:sz w:val="20"/>
          <w:szCs w:val="20"/>
        </w:rPr>
        <w:t>and</w:t>
      </w:r>
      <w:proofErr w:type="spellEnd"/>
      <w:r w:rsidRPr="00136F00">
        <w:rPr>
          <w:sz w:val="20"/>
          <w:szCs w:val="20"/>
        </w:rPr>
        <w:t xml:space="preserve"> </w:t>
      </w:r>
      <w:proofErr w:type="spellStart"/>
      <w:r w:rsidRPr="00136F00">
        <w:rPr>
          <w:sz w:val="20"/>
          <w:szCs w:val="20"/>
        </w:rPr>
        <w:t>Agility</w:t>
      </w:r>
      <w:proofErr w:type="spellEnd"/>
      <w:r w:rsidRPr="00136F00">
        <w:rPr>
          <w:sz w:val="20"/>
          <w:szCs w:val="20"/>
        </w:rPr>
        <w:t>) — платформа производства ПО, которая включает в себя ряд инженерных инструментов для управления разработкой, тестированием, эксплуатацией программного обеспечения, а также инженерных инструментов для работы с исходным кодом и инструментами мониторинга рабочих станций и бизнес-процессов. Они интегрированы между собой и позволяют выстраивать сквозной процесс управления производством ПО на всех этапах жизненного цикла.</w:t>
      </w:r>
    </w:p>
    <w:p w14:paraId="01DD2E41" w14:textId="77777777" w:rsidR="00136F00" w:rsidRPr="00136F00" w:rsidRDefault="00136F00" w:rsidP="009508FA">
      <w:pPr>
        <w:pStyle w:val="ad"/>
        <w:spacing w:after="200" w:line="240" w:lineRule="auto"/>
        <w:jc w:val="both"/>
        <w:rPr>
          <w:sz w:val="20"/>
          <w:szCs w:val="20"/>
        </w:rPr>
      </w:pPr>
    </w:p>
    <w:p w14:paraId="2339AE95" w14:textId="77777777" w:rsidR="00136F00" w:rsidRDefault="00136F00" w:rsidP="009508FA">
      <w:pPr>
        <w:pStyle w:val="ad"/>
        <w:spacing w:after="200" w:line="240" w:lineRule="auto"/>
        <w:jc w:val="both"/>
        <w:rPr>
          <w:sz w:val="20"/>
          <w:szCs w:val="20"/>
        </w:rPr>
      </w:pPr>
      <w:r w:rsidRPr="00136F00">
        <w:rPr>
          <w:b/>
          <w:bCs/>
          <w:sz w:val="20"/>
          <w:szCs w:val="20"/>
        </w:rPr>
        <w:t>DION</w:t>
      </w:r>
      <w:r w:rsidRPr="00136F00">
        <w:rPr>
          <w:sz w:val="20"/>
          <w:szCs w:val="20"/>
        </w:rPr>
        <w:t xml:space="preserve"> представляет собой платформу корпоративных коммуникаций и подходит как небольшим компаниям, так и крупному бизнесу с производствами или филиалами по всей стране. На текущий момент на виртуальной встрече может быть до 5000 равноправных участников, нет ограничений по количеству комнат или длительности переговоров. DION обеспечивает стабильное соединение, хорошее качество звука и трансляции экрана благодаря невысоким требованиям к каналу связи. Сервис можно использовать как полноценную стриминговую платформу для онбординга, передачи знаний. Внутри имеется встроенный плеер, аналитика просмотров, возможность оставлять комментарии. Уже появилась возможность совершать звонки p2p в DION, в приложении стала доступна адресная книга.</w:t>
      </w:r>
    </w:p>
    <w:p w14:paraId="7233FD10" w14:textId="77777777" w:rsidR="009508FA" w:rsidRDefault="009508FA" w:rsidP="009508FA">
      <w:pPr>
        <w:pStyle w:val="ad"/>
        <w:spacing w:after="200" w:line="240" w:lineRule="auto"/>
        <w:jc w:val="both"/>
        <w:rPr>
          <w:b/>
          <w:bCs/>
          <w:sz w:val="20"/>
          <w:szCs w:val="20"/>
        </w:rPr>
      </w:pPr>
    </w:p>
    <w:p w14:paraId="2C12EA6B" w14:textId="5B15E661" w:rsidR="00136F00" w:rsidRDefault="00136F00" w:rsidP="009508FA">
      <w:pPr>
        <w:pStyle w:val="ad"/>
        <w:spacing w:after="200" w:line="240" w:lineRule="auto"/>
        <w:jc w:val="both"/>
        <w:rPr>
          <w:sz w:val="20"/>
          <w:szCs w:val="20"/>
        </w:rPr>
      </w:pPr>
      <w:r w:rsidRPr="00136F00">
        <w:rPr>
          <w:b/>
          <w:bCs/>
          <w:sz w:val="20"/>
          <w:szCs w:val="20"/>
        </w:rPr>
        <w:t>НОТА МОДУС</w:t>
      </w:r>
      <w:r w:rsidRPr="00136F00">
        <w:rPr>
          <w:sz w:val="20"/>
          <w:szCs w:val="20"/>
        </w:rPr>
        <w:t xml:space="preserve">, модульная CRM-платформа (ранее — T1 CRM) — это решение для крупных компаний, с помощью которого можно автоматизировать процессы работы с клиентами, </w:t>
      </w:r>
      <w:proofErr w:type="spellStart"/>
      <w:r w:rsidRPr="00136F00">
        <w:rPr>
          <w:sz w:val="20"/>
          <w:szCs w:val="20"/>
        </w:rPr>
        <w:t>импортозаместить</w:t>
      </w:r>
      <w:proofErr w:type="spellEnd"/>
      <w:r w:rsidRPr="00136F00">
        <w:rPr>
          <w:sz w:val="20"/>
          <w:szCs w:val="20"/>
        </w:rPr>
        <w:t xml:space="preserve"> зарубежные CRM-системы, нивелировать риски зависимости от западных вендоров и обеспечить информационную безопасность ценных сведений бизнеса.</w:t>
      </w:r>
    </w:p>
    <w:p w14:paraId="3A7F9944" w14:textId="77777777" w:rsidR="00136F00" w:rsidRDefault="00136F00" w:rsidP="009508FA">
      <w:pPr>
        <w:pStyle w:val="ad"/>
        <w:spacing w:after="200" w:line="240" w:lineRule="auto"/>
        <w:jc w:val="both"/>
        <w:rPr>
          <w:rFonts w:eastAsiaTheme="minorHAnsi"/>
          <w:b/>
          <w:bCs/>
          <w:sz w:val="20"/>
          <w:szCs w:val="20"/>
          <w:lang w:eastAsia="en-US"/>
        </w:rPr>
      </w:pPr>
    </w:p>
    <w:p w14:paraId="7CFFDD1B" w14:textId="77777777" w:rsidR="00136F00" w:rsidRDefault="00136F00" w:rsidP="009508FA">
      <w:pPr>
        <w:pStyle w:val="ad"/>
        <w:spacing w:after="200" w:line="240" w:lineRule="auto"/>
        <w:jc w:val="both"/>
        <w:rPr>
          <w:rFonts w:eastAsiaTheme="minorHAnsi"/>
          <w:sz w:val="20"/>
          <w:szCs w:val="20"/>
          <w:lang w:eastAsia="en-US"/>
        </w:rPr>
      </w:pPr>
      <w:r w:rsidRPr="00136F00">
        <w:rPr>
          <w:rFonts w:eastAsiaTheme="minorHAnsi"/>
          <w:b/>
          <w:bCs/>
          <w:sz w:val="20"/>
          <w:szCs w:val="20"/>
          <w:lang w:eastAsia="en-US"/>
        </w:rPr>
        <w:t>НОТА ВИЗОР</w:t>
      </w:r>
      <w:r w:rsidRPr="00136F00">
        <w:rPr>
          <w:rFonts w:eastAsiaTheme="minorHAnsi"/>
          <w:sz w:val="20"/>
          <w:szCs w:val="20"/>
          <w:lang w:eastAsia="en-US"/>
        </w:rPr>
        <w:t xml:space="preserve"> (</w:t>
      </w:r>
      <w:proofErr w:type="spellStart"/>
      <w:r w:rsidRPr="00136F00">
        <w:rPr>
          <w:rFonts w:eastAsiaTheme="minorHAnsi"/>
          <w:sz w:val="20"/>
          <w:szCs w:val="20"/>
          <w:lang w:eastAsia="en-US"/>
        </w:rPr>
        <w:t>ex</w:t>
      </w:r>
      <w:proofErr w:type="spellEnd"/>
      <w:r w:rsidRPr="00136F00">
        <w:rPr>
          <w:rFonts w:eastAsiaTheme="minorHAnsi"/>
          <w:sz w:val="20"/>
          <w:szCs w:val="20"/>
          <w:lang w:eastAsia="en-US"/>
        </w:rPr>
        <w:t xml:space="preserve">. Т1 </w:t>
      </w:r>
      <w:proofErr w:type="spellStart"/>
      <w:r w:rsidRPr="00136F00">
        <w:rPr>
          <w:rFonts w:eastAsiaTheme="minorHAnsi"/>
          <w:sz w:val="20"/>
          <w:szCs w:val="20"/>
          <w:lang w:eastAsia="en-US"/>
        </w:rPr>
        <w:t>EasyTax</w:t>
      </w:r>
      <w:proofErr w:type="spellEnd"/>
      <w:r w:rsidRPr="00136F00">
        <w:rPr>
          <w:rFonts w:eastAsiaTheme="minorHAnsi"/>
          <w:sz w:val="20"/>
          <w:szCs w:val="20"/>
          <w:lang w:eastAsia="en-US"/>
        </w:rPr>
        <w:t xml:space="preserve">) — витрина данных с прямым подключением к АИС «Налог-3». Комплексное решение ИТ-компании НОТА (Холдинг Т1) для перехода в режим налогового мониторинга. Его функциональность включает в себя систему внутреннего контроля, возможность публикации сведений бухгалтерского и налогового </w:t>
      </w:r>
      <w:r w:rsidRPr="00136F00">
        <w:rPr>
          <w:rFonts w:eastAsiaTheme="minorHAnsi"/>
          <w:sz w:val="20"/>
          <w:szCs w:val="20"/>
          <w:lang w:eastAsia="en-US"/>
        </w:rPr>
        <w:lastRenderedPageBreak/>
        <w:t>учетов, удобный механизм распознавания налоговых регистров, журнал действий пользователей и налогового инспектора, электронный документооборот, организованное корпоративное хранилище.</w:t>
      </w:r>
    </w:p>
    <w:p w14:paraId="668720A9" w14:textId="77777777" w:rsidR="00136F00" w:rsidRDefault="00136F00" w:rsidP="009508FA">
      <w:pPr>
        <w:pStyle w:val="ad"/>
        <w:spacing w:after="200" w:line="240" w:lineRule="auto"/>
        <w:jc w:val="both"/>
        <w:rPr>
          <w:b/>
        </w:rPr>
      </w:pPr>
    </w:p>
    <w:p w14:paraId="74526424" w14:textId="77777777" w:rsidR="00136F00" w:rsidRDefault="00136F00" w:rsidP="009508FA">
      <w:pPr>
        <w:pStyle w:val="ad"/>
        <w:spacing w:after="200" w:line="240" w:lineRule="auto"/>
        <w:jc w:val="both"/>
        <w:rPr>
          <w:rFonts w:eastAsiaTheme="minorHAnsi"/>
          <w:sz w:val="20"/>
          <w:szCs w:val="20"/>
          <w:lang w:eastAsia="en-US"/>
        </w:rPr>
      </w:pPr>
      <w:r w:rsidRPr="00136F00">
        <w:rPr>
          <w:rFonts w:eastAsiaTheme="minorHAnsi"/>
          <w:b/>
          <w:bCs/>
          <w:sz w:val="20"/>
          <w:szCs w:val="20"/>
          <w:lang w:eastAsia="en-US"/>
        </w:rPr>
        <w:t>НОТА ЮНИОН</w:t>
      </w:r>
      <w:r w:rsidRPr="00136F00">
        <w:rPr>
          <w:rFonts w:eastAsiaTheme="minorHAnsi"/>
          <w:sz w:val="20"/>
          <w:szCs w:val="20"/>
          <w:lang w:eastAsia="en-US"/>
        </w:rPr>
        <w:t xml:space="preserve"> (</w:t>
      </w:r>
      <w:proofErr w:type="spellStart"/>
      <w:r w:rsidRPr="00136F00">
        <w:rPr>
          <w:rFonts w:eastAsiaTheme="minorHAnsi"/>
          <w:sz w:val="20"/>
          <w:szCs w:val="20"/>
          <w:lang w:eastAsia="en-US"/>
        </w:rPr>
        <w:t>ex</w:t>
      </w:r>
      <w:proofErr w:type="spellEnd"/>
      <w:r w:rsidRPr="00136F00">
        <w:rPr>
          <w:rFonts w:eastAsiaTheme="minorHAnsi"/>
          <w:sz w:val="20"/>
          <w:szCs w:val="20"/>
          <w:lang w:eastAsia="en-US"/>
        </w:rPr>
        <w:t xml:space="preserve">. Т1 TalentForce) предназначена для управления человеческим капиталом. Разработана экспертами </w:t>
      </w:r>
      <w:hyperlink r:id="rId5">
        <w:r w:rsidRPr="00136F00">
          <w:rPr>
            <w:rFonts w:eastAsiaTheme="minorHAnsi"/>
            <w:sz w:val="20"/>
            <w:szCs w:val="20"/>
            <w:lang w:eastAsia="en-US"/>
          </w:rPr>
          <w:t>Холдинга Т1</w:t>
        </w:r>
      </w:hyperlink>
      <w:r w:rsidRPr="00136F00">
        <w:rPr>
          <w:rFonts w:eastAsiaTheme="minorHAnsi"/>
          <w:sz w:val="20"/>
          <w:szCs w:val="20"/>
          <w:lang w:eastAsia="en-US"/>
        </w:rPr>
        <w:t xml:space="preserve"> для крупного бизнеса. Решение помогает компаниям трансформировать HR-процессы через цифровизацию пути пользователя на каждом этапе.</w:t>
      </w:r>
    </w:p>
    <w:p w14:paraId="36633FC1" w14:textId="77777777" w:rsidR="00136F00" w:rsidRDefault="00136F00" w:rsidP="009508FA">
      <w:pPr>
        <w:pStyle w:val="ad"/>
        <w:spacing w:after="200" w:line="240" w:lineRule="auto"/>
        <w:jc w:val="both"/>
        <w:rPr>
          <w:b/>
        </w:rPr>
      </w:pPr>
    </w:p>
    <w:p w14:paraId="4497124E" w14:textId="32C848BD" w:rsidR="00136F00" w:rsidRDefault="00136F00" w:rsidP="009508FA">
      <w:pPr>
        <w:pStyle w:val="ad"/>
        <w:spacing w:after="200" w:line="240" w:lineRule="auto"/>
        <w:jc w:val="both"/>
        <w:rPr>
          <w:rFonts w:eastAsiaTheme="minorHAnsi"/>
          <w:sz w:val="20"/>
          <w:szCs w:val="20"/>
          <w:lang w:eastAsia="en-US"/>
        </w:rPr>
      </w:pPr>
      <w:r w:rsidRPr="00136F00">
        <w:rPr>
          <w:rFonts w:eastAsiaTheme="minorHAnsi"/>
          <w:b/>
          <w:bCs/>
          <w:sz w:val="20"/>
          <w:szCs w:val="20"/>
          <w:lang w:eastAsia="en-US"/>
        </w:rPr>
        <w:t>НОТА КУПОЛ</w:t>
      </w:r>
      <w:r w:rsidRPr="00136F00">
        <w:rPr>
          <w:rFonts w:eastAsiaTheme="minorHAnsi"/>
          <w:sz w:val="20"/>
          <w:szCs w:val="20"/>
          <w:lang w:eastAsia="en-US"/>
        </w:rPr>
        <w:t xml:space="preserve"> — экосистема сервисов информационной безопасности. НОТА КУПОЛ </w:t>
      </w:r>
      <w:r w:rsidRPr="00136F00">
        <w:rPr>
          <w:color w:val="000000"/>
          <w:sz w:val="20"/>
          <w:szCs w:val="20"/>
        </w:rPr>
        <w:t>позволяет проводить аудит защищенности корпоративного ИТ-периметра, в том числе оценку соответствия регуляторным требованиям безопасности к объектам КИИ с автоматической фиксацией результатов, что существенно упрощает подготовку пакета документов для ФСБ и ФСТЭК. В экосистему входят инструменты для верификации трафика и предотвращения в режиме реального времени вторжений и утечек данных. НОТА КУПОЛ включает софтверные решения и программно-аппаратные комплексы, а также систему управления средствами защиты сетевой инфраструктуры, в том числе сформированной из продуктов различных вендоров.</w:t>
      </w:r>
    </w:p>
    <w:p w14:paraId="1D3ECD41" w14:textId="77777777" w:rsidR="00136F00" w:rsidRPr="00136F00" w:rsidRDefault="00136F00" w:rsidP="009508FA">
      <w:pPr>
        <w:pStyle w:val="ad"/>
        <w:spacing w:after="200" w:line="240" w:lineRule="auto"/>
        <w:jc w:val="both"/>
        <w:rPr>
          <w:rFonts w:eastAsiaTheme="minorHAnsi"/>
          <w:sz w:val="20"/>
          <w:szCs w:val="20"/>
          <w:lang w:eastAsia="en-US"/>
        </w:rPr>
      </w:pPr>
    </w:p>
    <w:p w14:paraId="701795BA" w14:textId="5A9C9899" w:rsidR="006D45FB" w:rsidRPr="00493E76" w:rsidRDefault="006D45FB" w:rsidP="009508FA">
      <w:pPr>
        <w:pStyle w:val="ad"/>
        <w:numPr>
          <w:ilvl w:val="0"/>
          <w:numId w:val="8"/>
        </w:numPr>
        <w:pBdr>
          <w:top w:val="nil"/>
          <w:left w:val="nil"/>
          <w:bottom w:val="nil"/>
          <w:right w:val="nil"/>
          <w:between w:val="nil"/>
        </w:pBdr>
        <w:spacing w:after="200" w:line="240" w:lineRule="auto"/>
        <w:ind w:right="-138"/>
        <w:jc w:val="both"/>
        <w:rPr>
          <w:color w:val="000000"/>
          <w:sz w:val="20"/>
          <w:szCs w:val="20"/>
        </w:rPr>
      </w:pPr>
      <w:r w:rsidRPr="00493E76">
        <w:rPr>
          <w:b/>
          <w:color w:val="000000"/>
          <w:sz w:val="20"/>
          <w:szCs w:val="20"/>
        </w:rPr>
        <w:t>Направление Т1 Искусственный интеллект</w:t>
      </w:r>
      <w:r w:rsidRPr="00493E76">
        <w:rPr>
          <w:color w:val="000000"/>
          <w:sz w:val="20"/>
          <w:szCs w:val="20"/>
        </w:rPr>
        <w:t xml:space="preserve"> (ИИ) консолидировало экспертизу холдинга в работе с большими данными, в разработке платформ хранения информации, а также в построении аналитических и рекомендательных систем для крупного бизнеса. В продуктовое портфолио Т1 ИИ входит более 15 решений, которые успешно используются в компаниях разного профиля и госструктурах, в том числе системы </w:t>
      </w:r>
      <w:proofErr w:type="spellStart"/>
      <w:r w:rsidRPr="00493E76">
        <w:rPr>
          <w:color w:val="000000"/>
          <w:sz w:val="20"/>
          <w:szCs w:val="20"/>
        </w:rPr>
        <w:t>видеоаналитики</w:t>
      </w:r>
      <w:proofErr w:type="spellEnd"/>
      <w:r w:rsidRPr="00493E76">
        <w:rPr>
          <w:color w:val="000000"/>
          <w:sz w:val="20"/>
          <w:szCs w:val="20"/>
        </w:rPr>
        <w:t xml:space="preserve"> и распознавания документов, модули BI-отчетности, цифровые ассистенты. Продукты и услуги Т1 ИИ направлены на реализацию задач цифровой трансформации в компаниях и организациях с целью автоматизации внутренних и внешних бизнес-процессов, улучшения взаимодействия между подразделениями, повышения эффективности сервисов для клиентов и увеличения прибыли компаний.</w:t>
      </w:r>
    </w:p>
    <w:p w14:paraId="53D7FCF3" w14:textId="77777777" w:rsidR="006D45FB" w:rsidRPr="00493E76" w:rsidRDefault="006D45FB" w:rsidP="009508FA">
      <w:pPr>
        <w:pStyle w:val="ad"/>
        <w:pBdr>
          <w:top w:val="nil"/>
          <w:left w:val="nil"/>
          <w:bottom w:val="nil"/>
          <w:right w:val="nil"/>
          <w:between w:val="nil"/>
        </w:pBdr>
        <w:spacing w:after="200" w:line="240" w:lineRule="auto"/>
        <w:ind w:right="-138"/>
        <w:jc w:val="both"/>
        <w:rPr>
          <w:color w:val="000000"/>
          <w:sz w:val="20"/>
          <w:szCs w:val="20"/>
        </w:rPr>
      </w:pPr>
    </w:p>
    <w:p w14:paraId="200FE433" w14:textId="77777777" w:rsidR="006D45FB" w:rsidRPr="00493E76" w:rsidRDefault="006D45FB" w:rsidP="009508FA">
      <w:pPr>
        <w:pStyle w:val="ad"/>
        <w:numPr>
          <w:ilvl w:val="0"/>
          <w:numId w:val="8"/>
        </w:numPr>
        <w:pBdr>
          <w:top w:val="nil"/>
          <w:left w:val="nil"/>
          <w:bottom w:val="nil"/>
          <w:right w:val="nil"/>
          <w:between w:val="nil"/>
        </w:pBdr>
        <w:spacing w:after="200" w:line="240" w:lineRule="auto"/>
        <w:ind w:right="-138"/>
        <w:jc w:val="both"/>
        <w:rPr>
          <w:color w:val="000000"/>
          <w:sz w:val="20"/>
          <w:szCs w:val="20"/>
        </w:rPr>
      </w:pPr>
      <w:r w:rsidRPr="00493E76">
        <w:rPr>
          <w:b/>
          <w:bCs/>
          <w:color w:val="000000"/>
          <w:sz w:val="20"/>
          <w:szCs w:val="20"/>
        </w:rPr>
        <w:t xml:space="preserve">«Радиоэлектроника» — </w:t>
      </w:r>
      <w:r w:rsidRPr="00493E76">
        <w:rPr>
          <w:color w:val="000000"/>
          <w:sz w:val="20"/>
          <w:szCs w:val="20"/>
        </w:rPr>
        <w:t xml:space="preserve">бизнес-направление по проектированию, производству и поставке гражданских беспилотных летательных аппаратов (БПЛА) и предоставление коммерческих сервисов на основе БПЛА. </w:t>
      </w:r>
    </w:p>
    <w:p w14:paraId="1CB23DEA" w14:textId="77777777" w:rsidR="006D45FB" w:rsidRPr="00493E76" w:rsidRDefault="006D45FB" w:rsidP="009508FA">
      <w:pPr>
        <w:pStyle w:val="ad"/>
        <w:pBdr>
          <w:top w:val="nil"/>
          <w:left w:val="nil"/>
          <w:bottom w:val="nil"/>
          <w:right w:val="nil"/>
          <w:between w:val="nil"/>
        </w:pBdr>
        <w:spacing w:after="200" w:line="240" w:lineRule="auto"/>
        <w:ind w:right="-138"/>
        <w:jc w:val="both"/>
        <w:rPr>
          <w:color w:val="000000"/>
          <w:sz w:val="20"/>
          <w:szCs w:val="20"/>
        </w:rPr>
      </w:pPr>
    </w:p>
    <w:p w14:paraId="7CFDF51F" w14:textId="77777777" w:rsidR="006D45FB" w:rsidRPr="00493E76" w:rsidRDefault="006D45FB" w:rsidP="009508FA">
      <w:pPr>
        <w:pStyle w:val="ad"/>
        <w:numPr>
          <w:ilvl w:val="0"/>
          <w:numId w:val="8"/>
        </w:numPr>
        <w:pBdr>
          <w:top w:val="nil"/>
          <w:left w:val="nil"/>
          <w:bottom w:val="nil"/>
          <w:right w:val="nil"/>
          <w:between w:val="nil"/>
        </w:pBdr>
        <w:spacing w:after="200" w:line="240" w:lineRule="auto"/>
        <w:ind w:right="-138"/>
        <w:jc w:val="both"/>
        <w:rPr>
          <w:color w:val="000000"/>
          <w:sz w:val="20"/>
          <w:szCs w:val="20"/>
        </w:rPr>
      </w:pPr>
      <w:r w:rsidRPr="00493E76">
        <w:rPr>
          <w:b/>
          <w:bCs/>
          <w:color w:val="000000"/>
          <w:sz w:val="20"/>
          <w:szCs w:val="20"/>
        </w:rPr>
        <w:t>Аналитическое агентство Холдинга Т1</w:t>
      </w:r>
      <w:r w:rsidRPr="00493E76">
        <w:rPr>
          <w:color w:val="000000"/>
          <w:sz w:val="20"/>
          <w:szCs w:val="20"/>
        </w:rPr>
        <w:t xml:space="preserve"> – проводящее отраслевые и специфические исследования цифровой индустрии.</w:t>
      </w:r>
    </w:p>
    <w:p w14:paraId="35B1B287" w14:textId="77777777" w:rsidR="006D45FB" w:rsidRPr="00493E76" w:rsidRDefault="006D45FB" w:rsidP="009508FA">
      <w:pPr>
        <w:pStyle w:val="ad"/>
        <w:spacing w:line="240" w:lineRule="auto"/>
        <w:jc w:val="both"/>
        <w:rPr>
          <w:b/>
          <w:bCs/>
          <w:color w:val="000000"/>
          <w:sz w:val="20"/>
          <w:szCs w:val="20"/>
        </w:rPr>
      </w:pPr>
    </w:p>
    <w:p w14:paraId="7D1AC014" w14:textId="620E0CD0" w:rsidR="006D45FB" w:rsidRPr="00493E76" w:rsidRDefault="006D45FB" w:rsidP="009508FA">
      <w:pPr>
        <w:pStyle w:val="ad"/>
        <w:numPr>
          <w:ilvl w:val="0"/>
          <w:numId w:val="8"/>
        </w:numPr>
        <w:pBdr>
          <w:top w:val="nil"/>
          <w:left w:val="nil"/>
          <w:bottom w:val="nil"/>
          <w:right w:val="nil"/>
          <w:between w:val="nil"/>
        </w:pBdr>
        <w:spacing w:after="200" w:line="240" w:lineRule="auto"/>
        <w:ind w:right="-138"/>
        <w:jc w:val="both"/>
        <w:rPr>
          <w:color w:val="000000"/>
          <w:sz w:val="20"/>
          <w:szCs w:val="20"/>
        </w:rPr>
      </w:pPr>
      <w:r w:rsidRPr="00493E76">
        <w:rPr>
          <w:b/>
          <w:bCs/>
          <w:color w:val="000000"/>
          <w:sz w:val="20"/>
          <w:szCs w:val="20"/>
        </w:rPr>
        <w:t>Т1 Цифровая Академия</w:t>
      </w:r>
      <w:r w:rsidRPr="00493E76">
        <w:rPr>
          <w:color w:val="000000"/>
          <w:sz w:val="20"/>
          <w:szCs w:val="20"/>
        </w:rPr>
        <w:t xml:space="preserve"> — провайдер кастомизированных продуктов и сервисов, образовательный партнёр на рынке корпоративного обучения в ИТ-отрасли. Компания работает на стыке </w:t>
      </w:r>
      <w:proofErr w:type="spellStart"/>
      <w:r w:rsidRPr="00493E76">
        <w:rPr>
          <w:color w:val="000000"/>
          <w:sz w:val="20"/>
          <w:szCs w:val="20"/>
        </w:rPr>
        <w:t>EdTech</w:t>
      </w:r>
      <w:proofErr w:type="spellEnd"/>
      <w:r w:rsidRPr="00493E76">
        <w:rPr>
          <w:color w:val="000000"/>
          <w:sz w:val="20"/>
          <w:szCs w:val="20"/>
        </w:rPr>
        <w:t xml:space="preserve">, </w:t>
      </w:r>
      <w:proofErr w:type="spellStart"/>
      <w:r w:rsidRPr="00493E76">
        <w:rPr>
          <w:color w:val="000000"/>
          <w:sz w:val="20"/>
          <w:szCs w:val="20"/>
        </w:rPr>
        <w:t>HRTech</w:t>
      </w:r>
      <w:proofErr w:type="spellEnd"/>
      <w:r w:rsidRPr="00493E76">
        <w:rPr>
          <w:color w:val="000000"/>
          <w:sz w:val="20"/>
          <w:szCs w:val="20"/>
        </w:rPr>
        <w:t xml:space="preserve"> и ИТ-консалтинга, объединяет цифровые компетенции Холдинга Т1, лучшие мировые практики и собственные разработки в сфере работы с талантами и предлагает заказчикам индивидуальные решения бизнес-задач. Миссия Т1 Цифровой Академии — помогать российским компаниям двигаться вперед за счёт повышения цифровых компетенций персонала. Цифровая Академия предлагает партнерам как разработку индивидуальных сервисных решений под задачи бизнеса, так и готовые базовые курсы, которые могут быть быстро доработаны и полностью адаптированы под цели заказчика. Индивидуальные сервисные решения Цифровой Академии отличает комплексный взгляд на корпоративное обучение, выраженный в концепции раскрытия талантов — гибком и адаптивном подходе к образованию сотрудников. Подробнее: </w:t>
      </w:r>
      <w:r w:rsidRPr="009508FA">
        <w:rPr>
          <w:color w:val="4F81BD" w:themeColor="accent1"/>
          <w:sz w:val="20"/>
          <w:szCs w:val="20"/>
          <w:u w:val="single"/>
        </w:rPr>
        <w:t>academy.t1.ru</w:t>
      </w:r>
      <w:r w:rsidRPr="00493E76">
        <w:rPr>
          <w:color w:val="000000"/>
          <w:sz w:val="20"/>
          <w:szCs w:val="20"/>
        </w:rPr>
        <w:t>.</w:t>
      </w:r>
      <w:r w:rsidR="009508FA">
        <w:rPr>
          <w:color w:val="000000"/>
          <w:sz w:val="20"/>
          <w:szCs w:val="20"/>
          <w:lang w:val="ru-RU"/>
        </w:rPr>
        <w:t xml:space="preserve">  </w:t>
      </w:r>
    </w:p>
    <w:p w14:paraId="0647B3B5" w14:textId="77777777" w:rsidR="006D45FB" w:rsidRPr="00493E76" w:rsidRDefault="006D45FB" w:rsidP="009508FA">
      <w:pPr>
        <w:pStyle w:val="ad"/>
        <w:spacing w:line="240" w:lineRule="auto"/>
        <w:jc w:val="both"/>
        <w:rPr>
          <w:b/>
          <w:bCs/>
          <w:color w:val="000000"/>
          <w:sz w:val="20"/>
          <w:szCs w:val="20"/>
          <w:lang w:val="en-US"/>
        </w:rPr>
      </w:pPr>
    </w:p>
    <w:p w14:paraId="07C5E4B9" w14:textId="77777777" w:rsidR="006D45FB" w:rsidRPr="00493E76" w:rsidRDefault="006D45FB" w:rsidP="009508FA">
      <w:pPr>
        <w:pStyle w:val="ad"/>
        <w:numPr>
          <w:ilvl w:val="0"/>
          <w:numId w:val="8"/>
        </w:numPr>
        <w:pBdr>
          <w:top w:val="nil"/>
          <w:left w:val="nil"/>
          <w:bottom w:val="nil"/>
          <w:right w:val="nil"/>
          <w:between w:val="nil"/>
        </w:pBdr>
        <w:spacing w:after="200" w:line="240" w:lineRule="auto"/>
        <w:ind w:right="-138"/>
        <w:jc w:val="both"/>
        <w:rPr>
          <w:color w:val="000000"/>
          <w:sz w:val="20"/>
          <w:szCs w:val="20"/>
        </w:rPr>
      </w:pPr>
      <w:r w:rsidRPr="00493E76">
        <w:rPr>
          <w:b/>
          <w:bCs/>
          <w:color w:val="000000"/>
          <w:sz w:val="20"/>
          <w:szCs w:val="20"/>
          <w:lang w:val="en-US"/>
        </w:rPr>
        <w:t>HR</w:t>
      </w:r>
      <w:r w:rsidRPr="00493E76">
        <w:rPr>
          <w:b/>
          <w:bCs/>
          <w:color w:val="000000"/>
          <w:sz w:val="20"/>
          <w:szCs w:val="20"/>
        </w:rPr>
        <w:t xml:space="preserve"> направление Холдинга Т1</w:t>
      </w:r>
    </w:p>
    <w:p w14:paraId="4DE44900" w14:textId="77777777" w:rsidR="006D45FB" w:rsidRPr="00493E76" w:rsidRDefault="006D45FB" w:rsidP="009508FA">
      <w:pPr>
        <w:pStyle w:val="ad"/>
        <w:spacing w:line="240" w:lineRule="auto"/>
        <w:jc w:val="both"/>
        <w:rPr>
          <w:color w:val="000000"/>
          <w:sz w:val="20"/>
          <w:szCs w:val="20"/>
        </w:rPr>
      </w:pPr>
    </w:p>
    <w:p w14:paraId="49D15CE4" w14:textId="77777777" w:rsidR="006D45FB" w:rsidRPr="00493E76" w:rsidRDefault="006D45FB" w:rsidP="009508FA">
      <w:pPr>
        <w:pStyle w:val="ad"/>
        <w:pBdr>
          <w:top w:val="nil"/>
          <w:left w:val="nil"/>
          <w:bottom w:val="nil"/>
          <w:right w:val="nil"/>
          <w:between w:val="nil"/>
        </w:pBdr>
        <w:spacing w:after="200" w:line="240" w:lineRule="auto"/>
        <w:ind w:right="-138"/>
        <w:jc w:val="both"/>
        <w:rPr>
          <w:color w:val="000000"/>
          <w:sz w:val="20"/>
          <w:szCs w:val="20"/>
        </w:rPr>
      </w:pPr>
      <w:r w:rsidRPr="00493E76">
        <w:rPr>
          <w:color w:val="000000"/>
          <w:sz w:val="20"/>
          <w:szCs w:val="20"/>
        </w:rPr>
        <w:t xml:space="preserve">HR-направление Холдинга Т1 демонстрирует экспертизу по найму, удержанию и развитию сотрудников холдинга. Компания инвестирует в развитие ИТ-кадров, внедряет практики наставничества, способствует формированию комфортной среды, где виден вклад конкретного разработчика в продукты компании и отрасль в целом. В </w:t>
      </w:r>
      <w:r w:rsidRPr="00493E76">
        <w:rPr>
          <w:color w:val="000000"/>
          <w:sz w:val="20"/>
          <w:szCs w:val="20"/>
          <w:lang w:val="en-US"/>
        </w:rPr>
        <w:t>HR</w:t>
      </w:r>
      <w:r w:rsidRPr="00493E76">
        <w:rPr>
          <w:color w:val="000000"/>
          <w:sz w:val="20"/>
          <w:szCs w:val="20"/>
        </w:rPr>
        <w:t>-направление входят такие проекты, как:</w:t>
      </w:r>
    </w:p>
    <w:p w14:paraId="7FE57323" w14:textId="77777777" w:rsidR="006D45FB" w:rsidRPr="00493E76" w:rsidRDefault="006D45FB" w:rsidP="009508FA">
      <w:pPr>
        <w:pBdr>
          <w:top w:val="nil"/>
          <w:left w:val="nil"/>
          <w:bottom w:val="nil"/>
          <w:right w:val="nil"/>
          <w:between w:val="nil"/>
        </w:pBdr>
        <w:spacing w:after="200" w:line="240" w:lineRule="auto"/>
        <w:ind w:left="709" w:right="-138"/>
        <w:jc w:val="both"/>
        <w:rPr>
          <w:color w:val="000000"/>
          <w:sz w:val="20"/>
          <w:szCs w:val="20"/>
        </w:rPr>
      </w:pPr>
      <w:r w:rsidRPr="00493E76">
        <w:rPr>
          <w:b/>
          <w:bCs/>
          <w:color w:val="000000"/>
          <w:sz w:val="20"/>
          <w:szCs w:val="20"/>
        </w:rPr>
        <w:lastRenderedPageBreak/>
        <w:t>Т</w:t>
      </w:r>
      <w:proofErr w:type="gramStart"/>
      <w:r w:rsidRPr="00493E76">
        <w:rPr>
          <w:b/>
          <w:bCs/>
          <w:color w:val="000000"/>
          <w:sz w:val="20"/>
          <w:szCs w:val="20"/>
        </w:rPr>
        <w:t>1.Дебют</w:t>
      </w:r>
      <w:proofErr w:type="gramEnd"/>
      <w:r w:rsidRPr="00493E76">
        <w:rPr>
          <w:color w:val="000000"/>
          <w:sz w:val="20"/>
          <w:szCs w:val="20"/>
        </w:rPr>
        <w:t xml:space="preserve"> — направление по работе с начинающими специалистами: студентами, выпускниками и специалистами с опытом работы до года. Объединяет стажировки, ИТ-лагерь Т1 и Открытые школы.</w:t>
      </w:r>
    </w:p>
    <w:p w14:paraId="207EFD87" w14:textId="77777777" w:rsidR="006D45FB" w:rsidRPr="00493E76" w:rsidRDefault="006D45FB" w:rsidP="009508FA">
      <w:pPr>
        <w:pBdr>
          <w:top w:val="nil"/>
          <w:left w:val="nil"/>
          <w:bottom w:val="nil"/>
          <w:right w:val="nil"/>
          <w:between w:val="nil"/>
        </w:pBdr>
        <w:spacing w:after="200" w:line="240" w:lineRule="auto"/>
        <w:ind w:left="709" w:right="-138"/>
        <w:jc w:val="both"/>
        <w:rPr>
          <w:color w:val="000000"/>
          <w:sz w:val="20"/>
          <w:szCs w:val="20"/>
        </w:rPr>
      </w:pPr>
      <w:r w:rsidRPr="00493E76">
        <w:rPr>
          <w:b/>
          <w:bCs/>
          <w:color w:val="000000"/>
          <w:sz w:val="20"/>
          <w:szCs w:val="20"/>
        </w:rPr>
        <w:t>Стажировка Т</w:t>
      </w:r>
      <w:proofErr w:type="gramStart"/>
      <w:r w:rsidRPr="00493E76">
        <w:rPr>
          <w:b/>
          <w:bCs/>
          <w:color w:val="000000"/>
          <w:sz w:val="20"/>
          <w:szCs w:val="20"/>
        </w:rPr>
        <w:t>1.Дебют</w:t>
      </w:r>
      <w:proofErr w:type="gramEnd"/>
      <w:r w:rsidRPr="00493E76">
        <w:rPr>
          <w:color w:val="000000"/>
          <w:sz w:val="20"/>
          <w:szCs w:val="20"/>
        </w:rPr>
        <w:t xml:space="preserve"> — практика для студентов и выпускников без опыта. В течение 3 месяцев участники работают над реальными кейсами под руководством наставников, с возможностью выбрать и перемещаться между разными направлениями разработки. </w:t>
      </w:r>
    </w:p>
    <w:p w14:paraId="42D0E89A" w14:textId="77777777" w:rsidR="006D45FB" w:rsidRPr="00493E76" w:rsidRDefault="006D45FB" w:rsidP="009508FA">
      <w:pPr>
        <w:pBdr>
          <w:top w:val="nil"/>
          <w:left w:val="nil"/>
          <w:bottom w:val="nil"/>
          <w:right w:val="nil"/>
          <w:between w:val="nil"/>
        </w:pBdr>
        <w:spacing w:after="200" w:line="240" w:lineRule="auto"/>
        <w:ind w:left="709" w:right="-138"/>
        <w:jc w:val="both"/>
        <w:rPr>
          <w:color w:val="000000"/>
          <w:sz w:val="20"/>
          <w:szCs w:val="20"/>
        </w:rPr>
      </w:pPr>
      <w:r w:rsidRPr="00493E76">
        <w:rPr>
          <w:b/>
          <w:bCs/>
          <w:color w:val="000000"/>
          <w:sz w:val="20"/>
          <w:szCs w:val="20"/>
        </w:rPr>
        <w:t>ИТ-лагерь Т1</w:t>
      </w:r>
      <w:r w:rsidRPr="00493E76">
        <w:rPr>
          <w:color w:val="000000"/>
          <w:sz w:val="20"/>
          <w:szCs w:val="20"/>
        </w:rPr>
        <w:t xml:space="preserve"> — это образовательный интенсив для студентов и выпускников в гибридном формате: месяц онлайн-обучения и неделя очного </w:t>
      </w:r>
      <w:proofErr w:type="spellStart"/>
      <w:r w:rsidRPr="00493E76">
        <w:rPr>
          <w:color w:val="000000"/>
          <w:sz w:val="20"/>
          <w:szCs w:val="20"/>
        </w:rPr>
        <w:t>буткемпа</w:t>
      </w:r>
      <w:proofErr w:type="spellEnd"/>
      <w:r w:rsidRPr="00493E76">
        <w:rPr>
          <w:color w:val="000000"/>
          <w:sz w:val="20"/>
          <w:szCs w:val="20"/>
        </w:rPr>
        <w:t>.</w:t>
      </w:r>
    </w:p>
    <w:p w14:paraId="63783D80" w14:textId="77777777" w:rsidR="006D45FB" w:rsidRPr="00493E76" w:rsidRDefault="006D45FB" w:rsidP="009508FA">
      <w:pPr>
        <w:pBdr>
          <w:top w:val="nil"/>
          <w:left w:val="nil"/>
          <w:bottom w:val="nil"/>
          <w:right w:val="nil"/>
          <w:between w:val="nil"/>
        </w:pBdr>
        <w:spacing w:after="200" w:line="240" w:lineRule="auto"/>
        <w:ind w:left="709" w:right="-138"/>
        <w:jc w:val="both"/>
        <w:rPr>
          <w:color w:val="000000"/>
          <w:sz w:val="20"/>
          <w:szCs w:val="20"/>
        </w:rPr>
      </w:pPr>
      <w:r w:rsidRPr="00493E76">
        <w:rPr>
          <w:b/>
          <w:bCs/>
          <w:color w:val="000000"/>
          <w:sz w:val="20"/>
          <w:szCs w:val="20"/>
        </w:rPr>
        <w:t>Открытые школы</w:t>
      </w:r>
      <w:r w:rsidRPr="00493E76">
        <w:rPr>
          <w:color w:val="000000"/>
          <w:sz w:val="20"/>
          <w:szCs w:val="20"/>
        </w:rPr>
        <w:t xml:space="preserve"> — программа найма для ИТ-специалистов с опытом работы от года, включает ИТ-интенсив, обучение на реальных задачах, поддержку наставников и HR-службы, и трудоустройство по итогам прохождения.</w:t>
      </w:r>
    </w:p>
    <w:p w14:paraId="16DC4460" w14:textId="77777777" w:rsidR="006D45FB" w:rsidRPr="00493E76" w:rsidRDefault="006D45FB" w:rsidP="009508FA">
      <w:pPr>
        <w:pBdr>
          <w:top w:val="nil"/>
          <w:left w:val="nil"/>
          <w:bottom w:val="nil"/>
          <w:right w:val="nil"/>
          <w:between w:val="nil"/>
        </w:pBdr>
        <w:spacing w:line="240" w:lineRule="auto"/>
        <w:ind w:right="-138"/>
        <w:jc w:val="both"/>
        <w:rPr>
          <w:b/>
          <w:color w:val="000000"/>
          <w:sz w:val="20"/>
          <w:szCs w:val="20"/>
        </w:rPr>
      </w:pPr>
    </w:p>
    <w:p w14:paraId="1B37C76E" w14:textId="2CC29547" w:rsidR="006D45FB" w:rsidRPr="00493E76" w:rsidRDefault="006D45FB" w:rsidP="009508FA">
      <w:pPr>
        <w:pStyle w:val="ad"/>
        <w:numPr>
          <w:ilvl w:val="0"/>
          <w:numId w:val="9"/>
        </w:numPr>
        <w:pBdr>
          <w:top w:val="nil"/>
          <w:left w:val="nil"/>
          <w:bottom w:val="nil"/>
          <w:right w:val="nil"/>
          <w:between w:val="nil"/>
        </w:pBdr>
        <w:spacing w:line="240" w:lineRule="auto"/>
        <w:ind w:right="-138"/>
        <w:jc w:val="both"/>
        <w:rPr>
          <w:b/>
          <w:color w:val="000000"/>
          <w:sz w:val="20"/>
          <w:szCs w:val="20"/>
        </w:rPr>
      </w:pPr>
      <w:r w:rsidRPr="00493E76">
        <w:rPr>
          <w:b/>
          <w:color w:val="000000"/>
          <w:sz w:val="20"/>
          <w:szCs w:val="20"/>
        </w:rPr>
        <w:t>КЛЮЧЕВЫЕ СПИКЕРЫ ХОЛДИНГА Т1</w:t>
      </w:r>
      <w:r w:rsidR="00DD5E13">
        <w:rPr>
          <w:b/>
          <w:color w:val="000000"/>
          <w:sz w:val="20"/>
          <w:szCs w:val="20"/>
          <w:lang w:val="ru-RU"/>
        </w:rPr>
        <w:t>:</w:t>
      </w:r>
    </w:p>
    <w:p w14:paraId="45EA9569" w14:textId="77777777" w:rsidR="006D45FB" w:rsidRPr="00493E76" w:rsidRDefault="006D45FB" w:rsidP="009508FA">
      <w:pPr>
        <w:pBdr>
          <w:top w:val="nil"/>
          <w:left w:val="nil"/>
          <w:bottom w:val="nil"/>
          <w:right w:val="nil"/>
          <w:between w:val="nil"/>
        </w:pBdr>
        <w:spacing w:line="240" w:lineRule="auto"/>
        <w:ind w:left="426" w:right="-138"/>
        <w:jc w:val="both"/>
        <w:rPr>
          <w:b/>
          <w:color w:val="000000"/>
          <w:sz w:val="20"/>
          <w:szCs w:val="20"/>
        </w:rPr>
      </w:pPr>
    </w:p>
    <w:p w14:paraId="5372BDCD" w14:textId="77777777" w:rsidR="006D45FB" w:rsidRPr="00493E76" w:rsidRDefault="006D45FB" w:rsidP="009508FA">
      <w:pPr>
        <w:pBdr>
          <w:top w:val="nil"/>
          <w:left w:val="nil"/>
          <w:bottom w:val="nil"/>
          <w:right w:val="nil"/>
          <w:between w:val="nil"/>
        </w:pBdr>
        <w:spacing w:line="240" w:lineRule="auto"/>
        <w:ind w:left="426" w:right="-138"/>
        <w:jc w:val="both"/>
        <w:rPr>
          <w:b/>
          <w:bCs/>
          <w:color w:val="000000"/>
          <w:sz w:val="20"/>
          <w:szCs w:val="20"/>
          <w:lang w:val="en-US"/>
        </w:rPr>
      </w:pPr>
      <w:r w:rsidRPr="00493E76">
        <w:rPr>
          <w:b/>
          <w:bCs/>
          <w:color w:val="000000"/>
          <w:sz w:val="20"/>
          <w:szCs w:val="20"/>
        </w:rPr>
        <w:t>Приоритет 1 (уровень CEO, CEO -1):</w:t>
      </w:r>
    </w:p>
    <w:p w14:paraId="73E84772" w14:textId="77777777" w:rsidR="006D45FB" w:rsidRPr="00493E76" w:rsidRDefault="006D45FB" w:rsidP="009508FA">
      <w:pPr>
        <w:pBdr>
          <w:top w:val="nil"/>
          <w:left w:val="nil"/>
          <w:bottom w:val="nil"/>
          <w:right w:val="nil"/>
          <w:between w:val="nil"/>
        </w:pBdr>
        <w:spacing w:line="240" w:lineRule="auto"/>
        <w:ind w:left="426" w:right="-138"/>
        <w:jc w:val="both"/>
        <w:rPr>
          <w:b/>
          <w:bCs/>
          <w:color w:val="000000"/>
          <w:sz w:val="20"/>
          <w:szCs w:val="20"/>
          <w:lang w:val="en-US"/>
        </w:rPr>
      </w:pPr>
    </w:p>
    <w:p w14:paraId="3109E8C9" w14:textId="77777777" w:rsidR="006D45FB" w:rsidRPr="00493E76" w:rsidRDefault="006D45FB" w:rsidP="009508FA">
      <w:pPr>
        <w:pStyle w:val="ad"/>
        <w:numPr>
          <w:ilvl w:val="0"/>
          <w:numId w:val="10"/>
        </w:numPr>
        <w:pBdr>
          <w:top w:val="nil"/>
          <w:left w:val="nil"/>
          <w:bottom w:val="nil"/>
          <w:right w:val="nil"/>
          <w:between w:val="nil"/>
        </w:pBdr>
        <w:spacing w:line="240" w:lineRule="auto"/>
        <w:ind w:right="-138"/>
        <w:jc w:val="both"/>
        <w:rPr>
          <w:b/>
          <w:color w:val="000000"/>
          <w:sz w:val="20"/>
          <w:szCs w:val="20"/>
        </w:rPr>
      </w:pPr>
      <w:r w:rsidRPr="00493E76">
        <w:rPr>
          <w:color w:val="000000"/>
          <w:sz w:val="20"/>
          <w:szCs w:val="20"/>
        </w:rPr>
        <w:t>Алексей Фетисов, генеральный директор Холдинга Т1</w:t>
      </w:r>
    </w:p>
    <w:p w14:paraId="643430F9" w14:textId="77777777" w:rsidR="006D45FB" w:rsidRPr="00493E76" w:rsidRDefault="006D45FB" w:rsidP="009508FA">
      <w:pPr>
        <w:pStyle w:val="ad"/>
        <w:numPr>
          <w:ilvl w:val="0"/>
          <w:numId w:val="10"/>
        </w:numPr>
        <w:pBdr>
          <w:top w:val="nil"/>
          <w:left w:val="nil"/>
          <w:bottom w:val="nil"/>
          <w:right w:val="nil"/>
          <w:between w:val="nil"/>
        </w:pBdr>
        <w:spacing w:line="240" w:lineRule="auto"/>
        <w:ind w:right="-138"/>
        <w:jc w:val="both"/>
        <w:rPr>
          <w:b/>
          <w:color w:val="000000"/>
          <w:sz w:val="20"/>
          <w:szCs w:val="20"/>
        </w:rPr>
      </w:pPr>
      <w:r w:rsidRPr="00493E76">
        <w:rPr>
          <w:color w:val="000000"/>
          <w:sz w:val="20"/>
          <w:szCs w:val="20"/>
        </w:rPr>
        <w:t>Дмитрий Харитонов, первый заместитель генерального директора Холдинга Т1</w:t>
      </w:r>
    </w:p>
    <w:p w14:paraId="749234C9" w14:textId="71ABAECB" w:rsidR="006D45FB" w:rsidRPr="00295F9F" w:rsidRDefault="006D45FB" w:rsidP="00295F9F">
      <w:pPr>
        <w:pStyle w:val="ad"/>
        <w:numPr>
          <w:ilvl w:val="0"/>
          <w:numId w:val="10"/>
        </w:numPr>
        <w:pBdr>
          <w:top w:val="nil"/>
          <w:left w:val="nil"/>
          <w:bottom w:val="nil"/>
          <w:right w:val="nil"/>
          <w:between w:val="nil"/>
        </w:pBdr>
        <w:spacing w:line="240" w:lineRule="auto"/>
        <w:ind w:right="-138"/>
        <w:jc w:val="both"/>
        <w:rPr>
          <w:b/>
          <w:color w:val="000000"/>
          <w:sz w:val="20"/>
          <w:szCs w:val="20"/>
        </w:rPr>
      </w:pPr>
      <w:r w:rsidRPr="00493E76">
        <w:rPr>
          <w:color w:val="000000"/>
          <w:sz w:val="20"/>
          <w:szCs w:val="20"/>
        </w:rPr>
        <w:t>Кирилл Булгаков, заместитель генерального директора Холдинга Т1 по продуктам и сервисам, управляющий директор вендора НОТА</w:t>
      </w:r>
    </w:p>
    <w:p w14:paraId="27FFF4EA" w14:textId="77777777" w:rsidR="006D45FB" w:rsidRPr="00493E76" w:rsidRDefault="006D45FB" w:rsidP="009508FA">
      <w:pPr>
        <w:pStyle w:val="ad"/>
        <w:numPr>
          <w:ilvl w:val="0"/>
          <w:numId w:val="10"/>
        </w:numPr>
        <w:pBdr>
          <w:top w:val="nil"/>
          <w:left w:val="nil"/>
          <w:bottom w:val="nil"/>
          <w:right w:val="nil"/>
          <w:between w:val="nil"/>
        </w:pBdr>
        <w:spacing w:line="240" w:lineRule="auto"/>
        <w:ind w:right="-138"/>
        <w:jc w:val="both"/>
        <w:rPr>
          <w:b/>
          <w:color w:val="000000"/>
          <w:sz w:val="20"/>
          <w:szCs w:val="20"/>
        </w:rPr>
      </w:pPr>
      <w:r w:rsidRPr="00493E76">
        <w:rPr>
          <w:color w:val="000000"/>
          <w:sz w:val="20"/>
          <w:szCs w:val="20"/>
        </w:rPr>
        <w:t>Сергей Голицын, руководитель Т1 ИИ</w:t>
      </w:r>
      <w:r w:rsidRPr="00493E76">
        <w:rPr>
          <w:color w:val="4D5156"/>
          <w:sz w:val="20"/>
          <w:szCs w:val="20"/>
        </w:rPr>
        <w:t> </w:t>
      </w:r>
    </w:p>
    <w:p w14:paraId="21636C15" w14:textId="77777777" w:rsidR="006D45FB" w:rsidRPr="00493E76" w:rsidRDefault="006D45FB" w:rsidP="009508FA">
      <w:pPr>
        <w:pStyle w:val="ad"/>
        <w:numPr>
          <w:ilvl w:val="0"/>
          <w:numId w:val="10"/>
        </w:numPr>
        <w:pBdr>
          <w:top w:val="nil"/>
          <w:left w:val="nil"/>
          <w:bottom w:val="nil"/>
          <w:right w:val="nil"/>
          <w:between w:val="nil"/>
        </w:pBdr>
        <w:spacing w:line="240" w:lineRule="auto"/>
        <w:ind w:right="-138"/>
        <w:jc w:val="both"/>
        <w:rPr>
          <w:b/>
          <w:color w:val="000000"/>
          <w:sz w:val="20"/>
          <w:szCs w:val="20"/>
        </w:rPr>
      </w:pPr>
      <w:r w:rsidRPr="00493E76">
        <w:rPr>
          <w:color w:val="000000"/>
          <w:sz w:val="20"/>
          <w:szCs w:val="20"/>
        </w:rPr>
        <w:t>Тимур Аляутдинов, операционный директор Холдинга Т1</w:t>
      </w:r>
    </w:p>
    <w:p w14:paraId="7E362882" w14:textId="77777777" w:rsidR="006D45FB" w:rsidRPr="00493E76" w:rsidRDefault="006D45FB" w:rsidP="009508FA">
      <w:pPr>
        <w:pStyle w:val="ad"/>
        <w:numPr>
          <w:ilvl w:val="0"/>
          <w:numId w:val="10"/>
        </w:numPr>
        <w:pBdr>
          <w:top w:val="nil"/>
          <w:left w:val="nil"/>
          <w:bottom w:val="nil"/>
          <w:right w:val="nil"/>
          <w:between w:val="nil"/>
        </w:pBdr>
        <w:spacing w:line="240" w:lineRule="auto"/>
        <w:ind w:right="-138"/>
        <w:jc w:val="both"/>
        <w:rPr>
          <w:b/>
          <w:color w:val="000000"/>
          <w:sz w:val="20"/>
          <w:szCs w:val="20"/>
        </w:rPr>
      </w:pPr>
      <w:r w:rsidRPr="00493E76">
        <w:rPr>
          <w:color w:val="000000"/>
          <w:sz w:val="20"/>
          <w:szCs w:val="20"/>
        </w:rPr>
        <w:t>Михаил Книгин, исполнительный директор Холдинга Т1</w:t>
      </w:r>
    </w:p>
    <w:p w14:paraId="7EBCFCFB" w14:textId="77777777" w:rsidR="006D45FB" w:rsidRPr="00493E76" w:rsidRDefault="006D45FB" w:rsidP="009508FA">
      <w:pPr>
        <w:pStyle w:val="ad"/>
        <w:numPr>
          <w:ilvl w:val="0"/>
          <w:numId w:val="10"/>
        </w:numPr>
        <w:pBdr>
          <w:top w:val="nil"/>
          <w:left w:val="nil"/>
          <w:bottom w:val="nil"/>
          <w:right w:val="nil"/>
          <w:between w:val="nil"/>
        </w:pBdr>
        <w:spacing w:line="240" w:lineRule="auto"/>
        <w:ind w:right="-138"/>
        <w:jc w:val="both"/>
        <w:rPr>
          <w:color w:val="000000"/>
          <w:sz w:val="20"/>
          <w:szCs w:val="20"/>
        </w:rPr>
      </w:pPr>
      <w:r w:rsidRPr="00493E76">
        <w:rPr>
          <w:color w:val="000000"/>
          <w:sz w:val="20"/>
          <w:szCs w:val="20"/>
        </w:rPr>
        <w:t xml:space="preserve">Андрей Гулидин, заместитель генерального директора, директор по развитию бизнеса Т1 </w:t>
      </w:r>
      <w:proofErr w:type="spellStart"/>
      <w:r w:rsidRPr="00493E76">
        <w:rPr>
          <w:color w:val="000000"/>
          <w:sz w:val="20"/>
          <w:szCs w:val="20"/>
        </w:rPr>
        <w:t>Иннотех</w:t>
      </w:r>
      <w:proofErr w:type="spellEnd"/>
    </w:p>
    <w:p w14:paraId="48DC9512" w14:textId="77777777" w:rsidR="006D45FB" w:rsidRPr="00493E76" w:rsidRDefault="006D45FB" w:rsidP="009508FA">
      <w:pPr>
        <w:spacing w:line="240" w:lineRule="auto"/>
        <w:ind w:left="426"/>
        <w:jc w:val="both"/>
        <w:rPr>
          <w:color w:val="000000"/>
          <w:sz w:val="20"/>
          <w:szCs w:val="20"/>
        </w:rPr>
      </w:pPr>
    </w:p>
    <w:p w14:paraId="514FBDDD" w14:textId="77777777" w:rsidR="006D45FB" w:rsidRDefault="006D45FB" w:rsidP="009508FA">
      <w:pPr>
        <w:spacing w:line="240" w:lineRule="auto"/>
        <w:ind w:left="426"/>
        <w:jc w:val="both"/>
        <w:rPr>
          <w:color w:val="000000"/>
          <w:sz w:val="20"/>
          <w:szCs w:val="20"/>
        </w:rPr>
      </w:pPr>
      <w:r w:rsidRPr="00493E76">
        <w:rPr>
          <w:color w:val="000000"/>
          <w:sz w:val="20"/>
          <w:szCs w:val="20"/>
        </w:rPr>
        <w:t>Полный перечень спикеров будет согласован после заключения договора по данному RFP.</w:t>
      </w:r>
    </w:p>
    <w:p w14:paraId="1694EE78" w14:textId="77777777" w:rsidR="00136F00" w:rsidRPr="00493E76" w:rsidRDefault="00136F00" w:rsidP="009508FA">
      <w:pPr>
        <w:spacing w:line="240" w:lineRule="auto"/>
        <w:jc w:val="both"/>
        <w:rPr>
          <w:color w:val="000000"/>
          <w:sz w:val="20"/>
          <w:szCs w:val="20"/>
        </w:rPr>
      </w:pPr>
    </w:p>
    <w:p w14:paraId="7B339775" w14:textId="77777777" w:rsidR="006D45FB" w:rsidRPr="00493E76" w:rsidRDefault="006D45FB" w:rsidP="009508FA">
      <w:pPr>
        <w:spacing w:line="240" w:lineRule="auto"/>
        <w:ind w:left="426"/>
        <w:jc w:val="both"/>
        <w:rPr>
          <w:color w:val="000000"/>
          <w:sz w:val="20"/>
          <w:szCs w:val="20"/>
        </w:rPr>
      </w:pPr>
    </w:p>
    <w:p w14:paraId="05464AFC" w14:textId="29974F1B" w:rsidR="006D45FB" w:rsidRPr="00493E76" w:rsidRDefault="006D45FB" w:rsidP="009508FA">
      <w:pPr>
        <w:pStyle w:val="ad"/>
        <w:numPr>
          <w:ilvl w:val="0"/>
          <w:numId w:val="9"/>
        </w:numPr>
        <w:spacing w:line="240" w:lineRule="auto"/>
        <w:jc w:val="both"/>
        <w:rPr>
          <w:b/>
          <w:color w:val="000000"/>
          <w:sz w:val="20"/>
          <w:szCs w:val="20"/>
        </w:rPr>
      </w:pPr>
      <w:r w:rsidRPr="00493E76">
        <w:rPr>
          <w:b/>
          <w:color w:val="000000"/>
          <w:sz w:val="20"/>
          <w:szCs w:val="20"/>
        </w:rPr>
        <w:t>ТЕМЫ ХОЛДИНГА Т1</w:t>
      </w:r>
      <w:r w:rsidR="00DD5E13">
        <w:rPr>
          <w:b/>
          <w:color w:val="000000"/>
          <w:sz w:val="20"/>
          <w:szCs w:val="20"/>
          <w:lang w:val="ru-RU"/>
        </w:rPr>
        <w:t>:</w:t>
      </w:r>
    </w:p>
    <w:p w14:paraId="74B7532D" w14:textId="77777777" w:rsidR="006D45FB" w:rsidRPr="00493E76" w:rsidRDefault="006D45FB" w:rsidP="009508FA">
      <w:pPr>
        <w:spacing w:line="240" w:lineRule="auto"/>
        <w:ind w:left="426"/>
        <w:jc w:val="both"/>
        <w:rPr>
          <w:b/>
          <w:color w:val="000000"/>
          <w:sz w:val="20"/>
          <w:szCs w:val="20"/>
        </w:rPr>
      </w:pPr>
    </w:p>
    <w:p w14:paraId="37FED6F1" w14:textId="77777777" w:rsidR="006D45FB" w:rsidRPr="00493E76" w:rsidRDefault="006D45FB" w:rsidP="009508FA">
      <w:pPr>
        <w:spacing w:line="240" w:lineRule="auto"/>
        <w:ind w:left="426"/>
        <w:jc w:val="both"/>
        <w:rPr>
          <w:color w:val="000000"/>
          <w:sz w:val="20"/>
          <w:szCs w:val="20"/>
        </w:rPr>
      </w:pPr>
      <w:r w:rsidRPr="00DD5E13">
        <w:rPr>
          <w:color w:val="000000"/>
          <w:sz w:val="20"/>
          <w:szCs w:val="20"/>
        </w:rPr>
        <w:t xml:space="preserve">Рынок ИТ, его события и тенденции, технологические тренды; цифровизация, цифровой консалтинг; облачные, сетевые технологии, 5G и другие стандарты; информационная безопасность, кибербезопасность, </w:t>
      </w:r>
      <w:proofErr w:type="spellStart"/>
      <w:r w:rsidRPr="00DD5E13">
        <w:rPr>
          <w:color w:val="000000"/>
          <w:sz w:val="20"/>
          <w:szCs w:val="20"/>
        </w:rPr>
        <w:t>кибераналитика</w:t>
      </w:r>
      <w:proofErr w:type="spellEnd"/>
      <w:r w:rsidRPr="00DD5E13">
        <w:rPr>
          <w:color w:val="000000"/>
          <w:sz w:val="20"/>
          <w:szCs w:val="20"/>
        </w:rPr>
        <w:t xml:space="preserve">; </w:t>
      </w:r>
      <w:proofErr w:type="spellStart"/>
      <w:r w:rsidRPr="00DD5E13">
        <w:rPr>
          <w:color w:val="000000"/>
          <w:sz w:val="20"/>
          <w:szCs w:val="20"/>
        </w:rPr>
        <w:t>ЦОДы</w:t>
      </w:r>
      <w:proofErr w:type="spellEnd"/>
      <w:r w:rsidRPr="00DD5E13">
        <w:rPr>
          <w:color w:val="000000"/>
          <w:sz w:val="20"/>
          <w:szCs w:val="20"/>
        </w:rPr>
        <w:t xml:space="preserve">, инженерная инфраструктура, роботизация – RPA, вычислительное оборудование, системы хранения данных, виртуализация, технологические исследования, унифицированные коммуникации, контакт-центры, интеллектуальное управление данными, системы мониторинга и анализа бизнес-процессов, биометрия; </w:t>
      </w:r>
      <w:proofErr w:type="spellStart"/>
      <w:r w:rsidRPr="00DD5E13">
        <w:rPr>
          <w:color w:val="000000"/>
          <w:sz w:val="20"/>
          <w:szCs w:val="20"/>
        </w:rPr>
        <w:t>IoT</w:t>
      </w:r>
      <w:proofErr w:type="spellEnd"/>
      <w:r w:rsidRPr="00DD5E13">
        <w:rPr>
          <w:color w:val="000000"/>
          <w:sz w:val="20"/>
          <w:szCs w:val="20"/>
        </w:rPr>
        <w:t xml:space="preserve"> и </w:t>
      </w:r>
      <w:proofErr w:type="spellStart"/>
      <w:r w:rsidRPr="00DD5E13">
        <w:rPr>
          <w:color w:val="000000"/>
          <w:sz w:val="20"/>
          <w:szCs w:val="20"/>
        </w:rPr>
        <w:t>IIoT</w:t>
      </w:r>
      <w:proofErr w:type="spellEnd"/>
      <w:r w:rsidRPr="00DD5E13">
        <w:rPr>
          <w:color w:val="000000"/>
          <w:sz w:val="20"/>
          <w:szCs w:val="20"/>
        </w:rPr>
        <w:t xml:space="preserve">, </w:t>
      </w:r>
      <w:proofErr w:type="spellStart"/>
      <w:r w:rsidRPr="00DD5E13">
        <w:rPr>
          <w:color w:val="000000"/>
          <w:sz w:val="20"/>
          <w:szCs w:val="20"/>
        </w:rPr>
        <w:t>Open</w:t>
      </w:r>
      <w:proofErr w:type="spellEnd"/>
      <w:r w:rsidRPr="00DD5E13">
        <w:rPr>
          <w:color w:val="000000"/>
          <w:sz w:val="20"/>
          <w:szCs w:val="20"/>
        </w:rPr>
        <w:t xml:space="preserve"> Source; взаимоотношения с российскими вендорами; глобальные тренды </w:t>
      </w:r>
      <w:proofErr w:type="spellStart"/>
      <w:r w:rsidRPr="00DD5E13">
        <w:rPr>
          <w:color w:val="000000"/>
          <w:sz w:val="20"/>
          <w:szCs w:val="20"/>
        </w:rPr>
        <w:t>финтеха</w:t>
      </w:r>
      <w:proofErr w:type="spellEnd"/>
      <w:r w:rsidRPr="00DD5E13">
        <w:rPr>
          <w:color w:val="000000"/>
          <w:sz w:val="20"/>
          <w:szCs w:val="20"/>
        </w:rPr>
        <w:t xml:space="preserve"> и ИТ, цифровизация банкинга и </w:t>
      </w:r>
      <w:proofErr w:type="spellStart"/>
      <w:r w:rsidRPr="00DD5E13">
        <w:rPr>
          <w:color w:val="000000"/>
          <w:sz w:val="20"/>
          <w:szCs w:val="20"/>
        </w:rPr>
        <w:t>финтеха</w:t>
      </w:r>
      <w:proofErr w:type="spellEnd"/>
      <w:r w:rsidRPr="00DD5E13">
        <w:rPr>
          <w:color w:val="000000"/>
          <w:sz w:val="20"/>
          <w:szCs w:val="20"/>
        </w:rPr>
        <w:t xml:space="preserve">, цифровизация бизнеса, технологии в финансах и банкинге, цифровые валюты, криптовалюты, технологии в финансах и банкинге, информационная безопасность, видеосервисы, ИТ в промышленности, ИТ в сельском хозяйстве, искусственный интеллект, базы данных, озера данных, аналитика Big Data. Международное сотрудничество, экспорт ПО, государственная поддержка IT, законодательная </w:t>
      </w:r>
      <w:proofErr w:type="spellStart"/>
      <w:r w:rsidRPr="00DD5E13">
        <w:rPr>
          <w:color w:val="000000"/>
          <w:sz w:val="20"/>
          <w:szCs w:val="20"/>
        </w:rPr>
        <w:t>регуляторика</w:t>
      </w:r>
      <w:proofErr w:type="spellEnd"/>
      <w:r w:rsidRPr="00DD5E13">
        <w:rPr>
          <w:color w:val="000000"/>
          <w:sz w:val="20"/>
          <w:szCs w:val="20"/>
        </w:rPr>
        <w:t xml:space="preserve">, инструменты государственного влияния на развитие бизнеса: льготное кредитование, поддержка инновационных проектов, GR, новые форматы партнерства и взаимодействия бизнеса и государства, управление ключевыми проектами. HR-блок: современный рынок труда и прогнозы по его развитию, цифровые профессии, контроль за сотрудниками на </w:t>
      </w:r>
      <w:proofErr w:type="spellStart"/>
      <w:r w:rsidRPr="00DD5E13">
        <w:rPr>
          <w:color w:val="000000"/>
          <w:sz w:val="20"/>
          <w:szCs w:val="20"/>
        </w:rPr>
        <w:t>удаленке</w:t>
      </w:r>
      <w:proofErr w:type="spellEnd"/>
      <w:r w:rsidRPr="00DD5E13">
        <w:rPr>
          <w:color w:val="000000"/>
          <w:sz w:val="20"/>
          <w:szCs w:val="20"/>
        </w:rPr>
        <w:t xml:space="preserve">, HR-тренды и </w:t>
      </w:r>
      <w:proofErr w:type="spellStart"/>
      <w:r w:rsidRPr="00DD5E13">
        <w:rPr>
          <w:color w:val="000000"/>
          <w:sz w:val="20"/>
          <w:szCs w:val="20"/>
        </w:rPr>
        <w:t>диджитализация</w:t>
      </w:r>
      <w:proofErr w:type="spellEnd"/>
      <w:r w:rsidRPr="00DD5E13">
        <w:rPr>
          <w:color w:val="000000"/>
          <w:sz w:val="20"/>
          <w:szCs w:val="20"/>
        </w:rPr>
        <w:t>, подбор, мотивация и адаптация персонала (в частности ИТ-специалистов), обучение, оценка и аттестация сотрудников, системы заработных плат, хэдхантинг, правила поддержания комфортной среды и благополучия персонала; HR-</w:t>
      </w:r>
      <w:proofErr w:type="spellStart"/>
      <w:r w:rsidRPr="00DD5E13">
        <w:rPr>
          <w:color w:val="000000"/>
          <w:sz w:val="20"/>
          <w:szCs w:val="20"/>
        </w:rPr>
        <w:t>tech</w:t>
      </w:r>
      <w:proofErr w:type="spellEnd"/>
      <w:r w:rsidRPr="00DD5E13">
        <w:rPr>
          <w:color w:val="000000"/>
          <w:sz w:val="20"/>
          <w:szCs w:val="20"/>
        </w:rPr>
        <w:t>; HR-сервисы; HR-менеджмент (управление системой найма и удержания ИТ-кадров, управление ресурсами, вовлечение и мотивация, геймификация, корпоративный HR-менеджмент); внутрикорпоративный PR, повышение лояльности сотрудников; региональные ИТ-кадры. Корпоративное управление. Управление бизнесом, бизнес-трансформация. Управление процессом продаж в крупном ИТ-бизнесе; выстраивание результативной системы продаж; новые инструменты и подходы. Гражданские беспилотники, дистанционное зондирование земли, БАС.</w:t>
      </w:r>
    </w:p>
    <w:p w14:paraId="46889D1D" w14:textId="77777777" w:rsidR="006D45FB" w:rsidRPr="00493E76" w:rsidRDefault="006D45FB" w:rsidP="009508FA">
      <w:pPr>
        <w:spacing w:line="240" w:lineRule="auto"/>
        <w:jc w:val="both"/>
        <w:rPr>
          <w:color w:val="000000"/>
          <w:sz w:val="20"/>
          <w:szCs w:val="20"/>
          <w:lang w:val="en-US"/>
        </w:rPr>
      </w:pPr>
    </w:p>
    <w:p w14:paraId="020038E8" w14:textId="58FE29D2" w:rsidR="006D45FB" w:rsidRPr="006D45FB" w:rsidRDefault="006D45FB" w:rsidP="009508FA">
      <w:pPr>
        <w:pStyle w:val="ad"/>
        <w:numPr>
          <w:ilvl w:val="0"/>
          <w:numId w:val="9"/>
        </w:numPr>
        <w:spacing w:line="240" w:lineRule="auto"/>
        <w:jc w:val="both"/>
        <w:rPr>
          <w:color w:val="000000"/>
          <w:sz w:val="20"/>
          <w:szCs w:val="20"/>
        </w:rPr>
      </w:pPr>
      <w:r w:rsidRPr="00493E76">
        <w:rPr>
          <w:b/>
          <w:color w:val="000000"/>
          <w:sz w:val="20"/>
          <w:szCs w:val="20"/>
        </w:rPr>
        <w:t>О</w:t>
      </w:r>
      <w:r w:rsidR="00DD5E13">
        <w:rPr>
          <w:b/>
          <w:color w:val="000000"/>
          <w:sz w:val="20"/>
          <w:szCs w:val="20"/>
          <w:lang w:val="ru-RU"/>
        </w:rPr>
        <w:t>ПИСАНИЕ ЦЕЛЕЙ, ЗАДАЧ, КЛЮЧЕВЫХ ПУНКТОВ ЗАКУПКИ:</w:t>
      </w:r>
    </w:p>
    <w:p w14:paraId="79318067" w14:textId="77777777" w:rsidR="006D45FB" w:rsidRPr="00AB17A9" w:rsidRDefault="006D45FB" w:rsidP="009508FA">
      <w:pPr>
        <w:spacing w:line="240" w:lineRule="auto"/>
        <w:jc w:val="both"/>
        <w:rPr>
          <w:b/>
          <w:sz w:val="20"/>
          <w:szCs w:val="20"/>
        </w:rPr>
      </w:pPr>
    </w:p>
    <w:p w14:paraId="5DB8764E" w14:textId="2A6D4EAA" w:rsidR="006D45FB" w:rsidRPr="00AB17A9" w:rsidRDefault="006D45FB" w:rsidP="009508FA">
      <w:pPr>
        <w:pStyle w:val="ad"/>
        <w:numPr>
          <w:ilvl w:val="0"/>
          <w:numId w:val="2"/>
        </w:numPr>
        <w:spacing w:line="240" w:lineRule="auto"/>
        <w:jc w:val="both"/>
        <w:rPr>
          <w:sz w:val="20"/>
          <w:szCs w:val="20"/>
          <w:lang w:val="ru-RU"/>
        </w:rPr>
      </w:pPr>
      <w:r w:rsidRPr="00AB17A9">
        <w:rPr>
          <w:sz w:val="20"/>
          <w:szCs w:val="20"/>
        </w:rPr>
        <w:t>Продвижение бренда Холдинга Т1</w:t>
      </w:r>
      <w:r w:rsidRPr="00AB17A9">
        <w:rPr>
          <w:sz w:val="20"/>
          <w:szCs w:val="20"/>
          <w:lang w:val="ru-RU"/>
        </w:rPr>
        <w:t xml:space="preserve">, </w:t>
      </w:r>
      <w:r w:rsidRPr="00AB17A9">
        <w:rPr>
          <w:sz w:val="20"/>
          <w:szCs w:val="20"/>
        </w:rPr>
        <w:t xml:space="preserve">его отдельных </w:t>
      </w:r>
      <w:r w:rsidRPr="00AB17A9">
        <w:rPr>
          <w:sz w:val="20"/>
          <w:szCs w:val="20"/>
          <w:lang w:val="ru-RU"/>
        </w:rPr>
        <w:t>бизнес-направлений/</w:t>
      </w:r>
      <w:r w:rsidRPr="00AB17A9">
        <w:rPr>
          <w:sz w:val="20"/>
          <w:szCs w:val="20"/>
        </w:rPr>
        <w:t xml:space="preserve">продуктов/брендов в новых медиа: коллаборации </w:t>
      </w:r>
      <w:r w:rsidRPr="00AB17A9">
        <w:rPr>
          <w:sz w:val="20"/>
          <w:szCs w:val="20"/>
          <w:lang w:val="ru-RU"/>
        </w:rPr>
        <w:t xml:space="preserve">и интервью </w:t>
      </w:r>
      <w:r w:rsidRPr="00AB17A9">
        <w:rPr>
          <w:sz w:val="20"/>
          <w:szCs w:val="20"/>
        </w:rPr>
        <w:t>с лидерами мнений</w:t>
      </w:r>
      <w:r w:rsidRPr="00AB17A9">
        <w:rPr>
          <w:sz w:val="20"/>
          <w:szCs w:val="20"/>
          <w:lang w:val="ru-RU"/>
        </w:rPr>
        <w:t xml:space="preserve"> на популярных видео-хостингах </w:t>
      </w:r>
      <w:r w:rsidR="009508FA" w:rsidRPr="00AB17A9">
        <w:rPr>
          <w:sz w:val="20"/>
          <w:szCs w:val="20"/>
          <w:lang w:val="ru-RU"/>
        </w:rPr>
        <w:t>(</w:t>
      </w:r>
      <w:proofErr w:type="spellStart"/>
      <w:r w:rsidR="009508FA" w:rsidRPr="00AB17A9">
        <w:rPr>
          <w:sz w:val="20"/>
          <w:szCs w:val="20"/>
          <w:lang w:val="en-US"/>
        </w:rPr>
        <w:t>Rutube</w:t>
      </w:r>
      <w:proofErr w:type="spellEnd"/>
      <w:r w:rsidR="009508FA" w:rsidRPr="00AB17A9">
        <w:rPr>
          <w:sz w:val="20"/>
          <w:szCs w:val="20"/>
          <w:lang w:val="ru-RU"/>
        </w:rPr>
        <w:t xml:space="preserve"> и др</w:t>
      </w:r>
      <w:r w:rsidR="009508FA">
        <w:rPr>
          <w:sz w:val="20"/>
          <w:szCs w:val="20"/>
          <w:lang w:val="ru-RU"/>
        </w:rPr>
        <w:t>.</w:t>
      </w:r>
      <w:r w:rsidR="009508FA" w:rsidRPr="00AB17A9">
        <w:rPr>
          <w:sz w:val="20"/>
          <w:szCs w:val="20"/>
          <w:lang w:val="ru-RU"/>
        </w:rPr>
        <w:t>)</w:t>
      </w:r>
      <w:r w:rsidR="009508FA">
        <w:rPr>
          <w:sz w:val="20"/>
          <w:szCs w:val="20"/>
          <w:lang w:val="ru-RU"/>
        </w:rPr>
        <w:t xml:space="preserve"> </w:t>
      </w:r>
      <w:r w:rsidRPr="00AB17A9">
        <w:rPr>
          <w:sz w:val="20"/>
          <w:szCs w:val="20"/>
          <w:lang w:val="ru-RU"/>
        </w:rPr>
        <w:t>и площадках для размещения подкастов</w:t>
      </w:r>
      <w:r w:rsidR="00744E8C">
        <w:rPr>
          <w:sz w:val="20"/>
          <w:szCs w:val="20"/>
          <w:lang w:val="ru-RU"/>
        </w:rPr>
        <w:t xml:space="preserve">, а также </w:t>
      </w:r>
      <w:r w:rsidR="00EA1828">
        <w:rPr>
          <w:sz w:val="20"/>
          <w:szCs w:val="20"/>
          <w:lang w:val="ru-RU"/>
        </w:rPr>
        <w:t xml:space="preserve">нативная </w:t>
      </w:r>
      <w:r w:rsidR="00744E8C">
        <w:rPr>
          <w:sz w:val="20"/>
          <w:szCs w:val="20"/>
          <w:lang w:val="ru-RU"/>
        </w:rPr>
        <w:t xml:space="preserve">интеграция в </w:t>
      </w:r>
      <w:r w:rsidR="00744E8C">
        <w:rPr>
          <w:sz w:val="20"/>
          <w:szCs w:val="20"/>
          <w:lang w:val="en-US"/>
        </w:rPr>
        <w:t>Telegram</w:t>
      </w:r>
      <w:r w:rsidR="00744E8C">
        <w:rPr>
          <w:sz w:val="20"/>
          <w:szCs w:val="20"/>
          <w:lang w:val="ru-RU"/>
        </w:rPr>
        <w:t>-каналы</w:t>
      </w:r>
      <w:r w:rsidRPr="00AB17A9">
        <w:rPr>
          <w:sz w:val="20"/>
          <w:szCs w:val="20"/>
        </w:rPr>
        <w:t xml:space="preserve">; </w:t>
      </w:r>
    </w:p>
    <w:p w14:paraId="089F870D" w14:textId="18AE9E74" w:rsidR="006D45FB" w:rsidRPr="00AB17A9" w:rsidRDefault="006D45FB" w:rsidP="009508FA">
      <w:pPr>
        <w:numPr>
          <w:ilvl w:val="0"/>
          <w:numId w:val="2"/>
        </w:numPr>
        <w:spacing w:line="240" w:lineRule="auto"/>
        <w:jc w:val="both"/>
        <w:rPr>
          <w:sz w:val="20"/>
          <w:szCs w:val="20"/>
        </w:rPr>
      </w:pPr>
      <w:r w:rsidRPr="00AB17A9">
        <w:rPr>
          <w:sz w:val="20"/>
          <w:szCs w:val="20"/>
          <w:lang w:val="ru-RU"/>
        </w:rPr>
        <w:t>Реализация</w:t>
      </w:r>
      <w:r w:rsidRPr="00AB17A9">
        <w:rPr>
          <w:sz w:val="20"/>
          <w:szCs w:val="20"/>
        </w:rPr>
        <w:t xml:space="preserve"> </w:t>
      </w:r>
      <w:r w:rsidRPr="00AB17A9">
        <w:rPr>
          <w:sz w:val="20"/>
          <w:szCs w:val="20"/>
          <w:lang w:val="ru-RU"/>
        </w:rPr>
        <w:t>интегрированных</w:t>
      </w:r>
      <w:r w:rsidRPr="00AB17A9">
        <w:rPr>
          <w:sz w:val="20"/>
          <w:szCs w:val="20"/>
        </w:rPr>
        <w:t xml:space="preserve"> </w:t>
      </w:r>
      <w:r w:rsidRPr="00AB17A9">
        <w:rPr>
          <w:sz w:val="20"/>
          <w:szCs w:val="20"/>
          <w:lang w:val="ru-RU"/>
        </w:rPr>
        <w:t xml:space="preserve">креативных </w:t>
      </w:r>
      <w:r w:rsidRPr="00AB17A9">
        <w:rPr>
          <w:sz w:val="20"/>
          <w:szCs w:val="20"/>
          <w:lang w:val="en-US"/>
        </w:rPr>
        <w:t>PR</w:t>
      </w:r>
      <w:r w:rsidRPr="00AB17A9">
        <w:rPr>
          <w:sz w:val="20"/>
          <w:szCs w:val="20"/>
          <w:lang w:val="ru-RU"/>
        </w:rPr>
        <w:t>-</w:t>
      </w:r>
      <w:r w:rsidRPr="00AB17A9">
        <w:rPr>
          <w:sz w:val="20"/>
          <w:szCs w:val="20"/>
        </w:rPr>
        <w:t>кампаний в формате 360 в рамках PR-поддержки ключевых инфоповодов холдинга</w:t>
      </w:r>
      <w:r w:rsidR="009508FA">
        <w:rPr>
          <w:sz w:val="20"/>
          <w:szCs w:val="20"/>
          <w:lang w:val="ru-RU"/>
        </w:rPr>
        <w:t xml:space="preserve">, а также </w:t>
      </w:r>
      <w:r w:rsidRPr="00AB17A9">
        <w:rPr>
          <w:sz w:val="20"/>
          <w:szCs w:val="20"/>
          <w:lang w:val="ru-RU"/>
        </w:rPr>
        <w:t>для повышения узнаваемости его продуктов, проектов, бизнес-направлений;</w:t>
      </w:r>
    </w:p>
    <w:p w14:paraId="6B0CA2BC" w14:textId="77777777" w:rsidR="006D45FB" w:rsidRPr="00AB17A9" w:rsidRDefault="006D45FB" w:rsidP="009508FA">
      <w:pPr>
        <w:numPr>
          <w:ilvl w:val="0"/>
          <w:numId w:val="2"/>
        </w:numPr>
        <w:spacing w:line="240" w:lineRule="auto"/>
        <w:jc w:val="both"/>
        <w:rPr>
          <w:sz w:val="20"/>
          <w:szCs w:val="20"/>
        </w:rPr>
      </w:pPr>
      <w:r w:rsidRPr="00AB17A9">
        <w:rPr>
          <w:sz w:val="20"/>
          <w:szCs w:val="20"/>
        </w:rPr>
        <w:t>Увеличение качественных и количественных показателей присутствия Холдинга Т1</w:t>
      </w:r>
      <w:r w:rsidRPr="00AB17A9">
        <w:rPr>
          <w:sz w:val="20"/>
          <w:szCs w:val="20"/>
          <w:lang w:val="ru-RU"/>
        </w:rPr>
        <w:t xml:space="preserve"> </w:t>
      </w:r>
      <w:r w:rsidRPr="00AB17A9">
        <w:rPr>
          <w:sz w:val="20"/>
          <w:szCs w:val="20"/>
        </w:rPr>
        <w:t xml:space="preserve">и его отдельных </w:t>
      </w:r>
      <w:r w:rsidRPr="00AB17A9">
        <w:rPr>
          <w:sz w:val="20"/>
          <w:szCs w:val="20"/>
          <w:lang w:val="ru-RU"/>
        </w:rPr>
        <w:t>бизнес-направлений/</w:t>
      </w:r>
      <w:r w:rsidRPr="00AB17A9">
        <w:rPr>
          <w:sz w:val="20"/>
          <w:szCs w:val="20"/>
        </w:rPr>
        <w:t>продуктов/брендов в новых медиа.</w:t>
      </w:r>
    </w:p>
    <w:p w14:paraId="1AD55F0E" w14:textId="77777777" w:rsidR="006D45FB" w:rsidRPr="00493E76" w:rsidRDefault="006D45FB" w:rsidP="009508FA">
      <w:pPr>
        <w:spacing w:line="240" w:lineRule="auto"/>
        <w:jc w:val="both"/>
        <w:rPr>
          <w:b/>
          <w:sz w:val="20"/>
          <w:szCs w:val="20"/>
        </w:rPr>
      </w:pPr>
    </w:p>
    <w:p w14:paraId="06AC6AFD" w14:textId="33E0FAB1" w:rsidR="006D45FB" w:rsidRPr="00136F00" w:rsidRDefault="006D45FB" w:rsidP="009508FA">
      <w:pPr>
        <w:pStyle w:val="ad"/>
        <w:numPr>
          <w:ilvl w:val="0"/>
          <w:numId w:val="9"/>
        </w:numPr>
        <w:spacing w:line="240" w:lineRule="auto"/>
        <w:jc w:val="both"/>
        <w:rPr>
          <w:b/>
          <w:color w:val="000000"/>
          <w:sz w:val="20"/>
          <w:szCs w:val="20"/>
        </w:rPr>
      </w:pPr>
      <w:r w:rsidRPr="00493E76">
        <w:rPr>
          <w:b/>
          <w:sz w:val="20"/>
          <w:szCs w:val="20"/>
        </w:rPr>
        <w:t>Ц</w:t>
      </w:r>
      <w:r w:rsidR="00DD5E13">
        <w:rPr>
          <w:b/>
          <w:sz w:val="20"/>
          <w:szCs w:val="20"/>
          <w:lang w:val="ru-RU"/>
        </w:rPr>
        <w:t>ЕЛЕВЫЕ АУДИТОРИИ:</w:t>
      </w:r>
      <w:r w:rsidRPr="00493E76">
        <w:rPr>
          <w:b/>
          <w:sz w:val="20"/>
          <w:szCs w:val="20"/>
        </w:rPr>
        <w:t xml:space="preserve"> </w:t>
      </w:r>
    </w:p>
    <w:p w14:paraId="22481886" w14:textId="77777777" w:rsidR="00136F00" w:rsidRDefault="00136F00" w:rsidP="009508FA">
      <w:pPr>
        <w:pStyle w:val="ad"/>
        <w:spacing w:line="240" w:lineRule="auto"/>
        <w:jc w:val="both"/>
        <w:rPr>
          <w:b/>
          <w:sz w:val="20"/>
          <w:szCs w:val="20"/>
        </w:rPr>
      </w:pPr>
    </w:p>
    <w:p w14:paraId="2FFB7437" w14:textId="117BB49C" w:rsidR="00136F00" w:rsidRPr="009508FA" w:rsidRDefault="00136F00" w:rsidP="009508FA">
      <w:pPr>
        <w:pStyle w:val="ad"/>
        <w:numPr>
          <w:ilvl w:val="0"/>
          <w:numId w:val="1"/>
        </w:numPr>
        <w:spacing w:line="240" w:lineRule="auto"/>
        <w:jc w:val="both"/>
        <w:rPr>
          <w:sz w:val="20"/>
          <w:szCs w:val="20"/>
        </w:rPr>
      </w:pPr>
      <w:r w:rsidRPr="009508FA">
        <w:rPr>
          <w:sz w:val="20"/>
          <w:szCs w:val="20"/>
          <w:lang w:val="ru-RU"/>
        </w:rPr>
        <w:t>Широкая общественность</w:t>
      </w:r>
      <w:r w:rsidR="009508FA" w:rsidRPr="009508FA">
        <w:rPr>
          <w:sz w:val="20"/>
          <w:szCs w:val="20"/>
          <w:lang w:val="ru-RU"/>
        </w:rPr>
        <w:t>;</w:t>
      </w:r>
    </w:p>
    <w:p w14:paraId="0B8DA302" w14:textId="3D0067C9" w:rsidR="009508FA" w:rsidRPr="009508FA" w:rsidRDefault="009508FA" w:rsidP="009508FA">
      <w:pPr>
        <w:pStyle w:val="ad"/>
        <w:numPr>
          <w:ilvl w:val="0"/>
          <w:numId w:val="1"/>
        </w:numPr>
        <w:spacing w:line="240" w:lineRule="auto"/>
        <w:jc w:val="both"/>
        <w:rPr>
          <w:sz w:val="20"/>
          <w:szCs w:val="20"/>
        </w:rPr>
      </w:pPr>
      <w:r>
        <w:rPr>
          <w:sz w:val="20"/>
          <w:szCs w:val="20"/>
          <w:lang w:val="ru-RU"/>
        </w:rPr>
        <w:t>Текущие и потенциальные сотрудники</w:t>
      </w:r>
      <w:r w:rsidRPr="009508FA">
        <w:rPr>
          <w:sz w:val="20"/>
          <w:szCs w:val="20"/>
          <w:lang w:val="ru-RU"/>
        </w:rPr>
        <w:t>;</w:t>
      </w:r>
    </w:p>
    <w:p w14:paraId="14A8AC5D" w14:textId="24926C7E" w:rsidR="009508FA" w:rsidRPr="00AB17A9" w:rsidRDefault="009508FA" w:rsidP="009508FA">
      <w:pPr>
        <w:numPr>
          <w:ilvl w:val="0"/>
          <w:numId w:val="1"/>
        </w:numPr>
        <w:spacing w:line="240" w:lineRule="auto"/>
        <w:jc w:val="both"/>
        <w:rPr>
          <w:sz w:val="20"/>
          <w:szCs w:val="20"/>
        </w:rPr>
      </w:pPr>
      <w:r>
        <w:rPr>
          <w:sz w:val="20"/>
          <w:szCs w:val="20"/>
          <w:lang w:val="ru-RU"/>
        </w:rPr>
        <w:t>Действующие</w:t>
      </w:r>
      <w:r w:rsidRPr="00AB17A9">
        <w:rPr>
          <w:sz w:val="20"/>
          <w:szCs w:val="20"/>
        </w:rPr>
        <w:t xml:space="preserve"> </w:t>
      </w:r>
      <w:r>
        <w:rPr>
          <w:sz w:val="20"/>
          <w:szCs w:val="20"/>
          <w:lang w:val="ru-RU"/>
        </w:rPr>
        <w:t xml:space="preserve">и потенциальные </w:t>
      </w:r>
      <w:r w:rsidRPr="00AB17A9">
        <w:rPr>
          <w:sz w:val="20"/>
          <w:szCs w:val="20"/>
        </w:rPr>
        <w:t>клиенты</w:t>
      </w:r>
      <w:r w:rsidRPr="009508FA">
        <w:rPr>
          <w:sz w:val="20"/>
          <w:szCs w:val="20"/>
          <w:lang w:val="ru-RU"/>
        </w:rPr>
        <w:t>;</w:t>
      </w:r>
      <w:r w:rsidRPr="00AB17A9">
        <w:rPr>
          <w:sz w:val="20"/>
          <w:szCs w:val="20"/>
        </w:rPr>
        <w:t xml:space="preserve"> </w:t>
      </w:r>
    </w:p>
    <w:p w14:paraId="5CA62424" w14:textId="211266C0" w:rsidR="00136F00" w:rsidRPr="009508FA" w:rsidRDefault="009508FA" w:rsidP="009508FA">
      <w:pPr>
        <w:numPr>
          <w:ilvl w:val="0"/>
          <w:numId w:val="1"/>
        </w:numPr>
        <w:spacing w:line="240" w:lineRule="auto"/>
        <w:jc w:val="both"/>
        <w:rPr>
          <w:sz w:val="20"/>
          <w:szCs w:val="20"/>
        </w:rPr>
      </w:pPr>
      <w:r>
        <w:rPr>
          <w:sz w:val="20"/>
          <w:szCs w:val="20"/>
          <w:lang w:val="ru-RU"/>
        </w:rPr>
        <w:t>Технологические и б</w:t>
      </w:r>
      <w:proofErr w:type="spellStart"/>
      <w:r w:rsidRPr="00AB17A9">
        <w:rPr>
          <w:sz w:val="20"/>
          <w:szCs w:val="20"/>
        </w:rPr>
        <w:t>изнес</w:t>
      </w:r>
      <w:proofErr w:type="spellEnd"/>
      <w:r w:rsidRPr="00AB17A9">
        <w:rPr>
          <w:sz w:val="20"/>
          <w:szCs w:val="20"/>
        </w:rPr>
        <w:t>-партнеры</w:t>
      </w:r>
      <w:r w:rsidRPr="009508FA">
        <w:rPr>
          <w:sz w:val="20"/>
          <w:szCs w:val="20"/>
          <w:lang w:val="ru-RU"/>
        </w:rPr>
        <w:t>;</w:t>
      </w:r>
    </w:p>
    <w:p w14:paraId="180B76B5" w14:textId="0CAFDE73" w:rsidR="00136F00" w:rsidRPr="00AB17A9" w:rsidRDefault="00136F00" w:rsidP="009508FA">
      <w:pPr>
        <w:numPr>
          <w:ilvl w:val="0"/>
          <w:numId w:val="1"/>
        </w:numPr>
        <w:spacing w:line="240" w:lineRule="auto"/>
        <w:jc w:val="both"/>
        <w:rPr>
          <w:sz w:val="20"/>
          <w:szCs w:val="20"/>
        </w:rPr>
      </w:pPr>
      <w:r w:rsidRPr="00AB17A9">
        <w:rPr>
          <w:sz w:val="20"/>
          <w:szCs w:val="20"/>
        </w:rPr>
        <w:t xml:space="preserve">Блогеры, лидеры мнений, </w:t>
      </w:r>
      <w:r w:rsidR="000F1A57">
        <w:rPr>
          <w:sz w:val="20"/>
          <w:szCs w:val="20"/>
          <w:lang w:val="ru-RU"/>
        </w:rPr>
        <w:t>телеведущие.</w:t>
      </w:r>
    </w:p>
    <w:p w14:paraId="0A4CC7A9" w14:textId="77777777" w:rsidR="006D45FB" w:rsidRDefault="006D45FB" w:rsidP="009508FA">
      <w:pPr>
        <w:spacing w:after="200" w:line="240" w:lineRule="auto"/>
        <w:jc w:val="both"/>
        <w:rPr>
          <w:b/>
          <w:sz w:val="20"/>
          <w:szCs w:val="20"/>
        </w:rPr>
      </w:pPr>
    </w:p>
    <w:p w14:paraId="197FD74B" w14:textId="2AA5C0C4" w:rsidR="006D45FB" w:rsidRPr="00493E76" w:rsidRDefault="006D45FB" w:rsidP="009508FA">
      <w:pPr>
        <w:pStyle w:val="ad"/>
        <w:numPr>
          <w:ilvl w:val="0"/>
          <w:numId w:val="9"/>
        </w:numPr>
        <w:pBdr>
          <w:top w:val="nil"/>
          <w:left w:val="nil"/>
          <w:bottom w:val="nil"/>
          <w:right w:val="nil"/>
          <w:between w:val="nil"/>
        </w:pBdr>
        <w:tabs>
          <w:tab w:val="left" w:pos="1276"/>
          <w:tab w:val="left" w:pos="2552"/>
          <w:tab w:val="left" w:pos="2977"/>
          <w:tab w:val="left" w:pos="3686"/>
          <w:tab w:val="left" w:pos="5245"/>
          <w:tab w:val="left" w:pos="5812"/>
        </w:tabs>
        <w:spacing w:after="60" w:line="240" w:lineRule="auto"/>
        <w:ind w:right="142"/>
        <w:jc w:val="both"/>
        <w:rPr>
          <w:b/>
          <w:color w:val="000000"/>
          <w:sz w:val="20"/>
          <w:szCs w:val="20"/>
        </w:rPr>
      </w:pPr>
      <w:r w:rsidRPr="00493E76">
        <w:rPr>
          <w:b/>
          <w:color w:val="000000"/>
          <w:sz w:val="20"/>
          <w:szCs w:val="20"/>
        </w:rPr>
        <w:t>Т</w:t>
      </w:r>
      <w:r w:rsidR="00DD5E13">
        <w:rPr>
          <w:b/>
          <w:color w:val="000000"/>
          <w:sz w:val="20"/>
          <w:szCs w:val="20"/>
          <w:lang w:val="ru-RU"/>
        </w:rPr>
        <w:t xml:space="preserve">РЕБОВАНИЯ </w:t>
      </w:r>
      <w:r w:rsidR="00DD5E13">
        <w:rPr>
          <w:b/>
          <w:color w:val="000000" w:themeColor="text1"/>
          <w:lang w:val="ru-RU"/>
        </w:rPr>
        <w:t>К УЧАСТНИКАМ ТЕНДЕРА И ПРЕДМЕТУ ЗАКУПКИ:</w:t>
      </w:r>
    </w:p>
    <w:tbl>
      <w:tblPr>
        <w:tblStyle w:val="af"/>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7781"/>
      </w:tblGrid>
      <w:tr w:rsidR="006D45FB" w:rsidRPr="00493E76" w14:paraId="2552B206" w14:textId="77777777" w:rsidTr="00136F00">
        <w:trPr>
          <w:trHeight w:val="397"/>
        </w:trPr>
        <w:tc>
          <w:tcPr>
            <w:tcW w:w="865" w:type="dxa"/>
            <w:tcBorders>
              <w:bottom w:val="single" w:sz="12" w:space="0" w:color="1F497D" w:themeColor="text2"/>
            </w:tcBorders>
            <w:vAlign w:val="center"/>
          </w:tcPr>
          <w:p w14:paraId="58731563" w14:textId="21FA0EB9" w:rsidR="006D45FB" w:rsidRPr="006D45FB" w:rsidRDefault="006D45FB" w:rsidP="009508FA">
            <w:pPr>
              <w:spacing w:after="60"/>
              <w:ind w:left="426" w:right="-105"/>
              <w:jc w:val="both"/>
              <w:rPr>
                <w:rFonts w:ascii="Arial" w:eastAsia="Arial" w:hAnsi="Arial" w:cs="Arial"/>
                <w:b/>
                <w:color w:val="000000" w:themeColor="text1"/>
              </w:rPr>
            </w:pPr>
          </w:p>
        </w:tc>
        <w:tc>
          <w:tcPr>
            <w:tcW w:w="7781" w:type="dxa"/>
            <w:tcBorders>
              <w:bottom w:val="single" w:sz="12" w:space="0" w:color="1F497D" w:themeColor="text2"/>
            </w:tcBorders>
            <w:vAlign w:val="center"/>
          </w:tcPr>
          <w:p w14:paraId="52085932" w14:textId="26DA5BA2" w:rsidR="006D45FB" w:rsidRPr="006D45FB" w:rsidRDefault="006D45FB" w:rsidP="00DD5E13">
            <w:pPr>
              <w:spacing w:after="60"/>
              <w:ind w:right="-105"/>
              <w:jc w:val="both"/>
              <w:rPr>
                <w:rFonts w:ascii="Arial" w:eastAsia="Arial" w:hAnsi="Arial" w:cs="Arial"/>
                <w:b/>
                <w:color w:val="000000" w:themeColor="text1"/>
              </w:rPr>
            </w:pPr>
          </w:p>
        </w:tc>
      </w:tr>
      <w:tr w:rsidR="006D45FB" w:rsidRPr="00493E76" w14:paraId="6C645DA9" w14:textId="77777777" w:rsidTr="00136F00">
        <w:trPr>
          <w:trHeight w:val="397"/>
        </w:trPr>
        <w:tc>
          <w:tcPr>
            <w:tcW w:w="865" w:type="dxa"/>
            <w:tcBorders>
              <w:top w:val="single" w:sz="12" w:space="0" w:color="1F497D" w:themeColor="text2"/>
              <w:bottom w:val="single" w:sz="6" w:space="0" w:color="C6D9F1" w:themeColor="text2" w:themeTint="33"/>
            </w:tcBorders>
            <w:vAlign w:val="center"/>
          </w:tcPr>
          <w:p w14:paraId="7084685E" w14:textId="77777777" w:rsidR="006D45FB" w:rsidRPr="00493E76" w:rsidRDefault="006D45FB" w:rsidP="009508FA">
            <w:pPr>
              <w:pStyle w:val="Inn1"/>
              <w:numPr>
                <w:ilvl w:val="0"/>
                <w:numId w:val="14"/>
              </w:numPr>
              <w:spacing w:line="240" w:lineRule="auto"/>
              <w:ind w:right="50"/>
              <w:jc w:val="both"/>
              <w:rPr>
                <w:rFonts w:ascii="Arial" w:hAnsi="Arial"/>
                <w:color w:val="000000" w:themeColor="text1"/>
              </w:rPr>
            </w:pPr>
          </w:p>
        </w:tc>
        <w:tc>
          <w:tcPr>
            <w:tcW w:w="7781" w:type="dxa"/>
            <w:tcBorders>
              <w:top w:val="single" w:sz="12" w:space="0" w:color="1F497D" w:themeColor="text2"/>
              <w:bottom w:val="single" w:sz="6" w:space="0" w:color="C6D9F1" w:themeColor="text2" w:themeTint="33"/>
            </w:tcBorders>
            <w:vAlign w:val="center"/>
          </w:tcPr>
          <w:p w14:paraId="459C7AFF" w14:textId="77777777" w:rsidR="006D45FB" w:rsidRDefault="006D45FB" w:rsidP="009508FA">
            <w:pPr>
              <w:pBdr>
                <w:top w:val="nil"/>
                <w:left w:val="nil"/>
                <w:bottom w:val="nil"/>
                <w:right w:val="nil"/>
                <w:between w:val="nil"/>
              </w:pBdr>
              <w:spacing w:after="60"/>
              <w:ind w:left="426" w:right="-105"/>
              <w:jc w:val="both"/>
              <w:rPr>
                <w:rFonts w:ascii="Arial" w:eastAsia="Arial" w:hAnsi="Arial" w:cs="Arial"/>
                <w:color w:val="030125"/>
              </w:rPr>
            </w:pPr>
          </w:p>
          <w:p w14:paraId="22A4D656" w14:textId="5165B34D" w:rsidR="006D45FB" w:rsidRPr="00493E76" w:rsidRDefault="006D45FB" w:rsidP="00234111">
            <w:pPr>
              <w:pBdr>
                <w:top w:val="nil"/>
                <w:left w:val="nil"/>
                <w:bottom w:val="nil"/>
                <w:right w:val="nil"/>
                <w:between w:val="nil"/>
              </w:pBdr>
              <w:spacing w:after="60"/>
              <w:ind w:left="21" w:right="-105" w:hanging="21"/>
              <w:jc w:val="both"/>
              <w:rPr>
                <w:rFonts w:ascii="Arial" w:eastAsia="Arial" w:hAnsi="Arial" w:cs="Arial"/>
                <w:color w:val="030125"/>
              </w:rPr>
            </w:pPr>
            <w:r w:rsidRPr="00493E76">
              <w:rPr>
                <w:rFonts w:ascii="Arial" w:eastAsia="Arial" w:hAnsi="Arial" w:cs="Arial"/>
                <w:color w:val="030125"/>
              </w:rPr>
              <w:t>Участники тендера должны иметь подтвержденный опыт работы с крупными многопрофильными IT-компаниями и аналогичными задачами. Опыт подтверждается в презентации-портфолио, содержащем следующую информацию:</w:t>
            </w:r>
          </w:p>
          <w:p w14:paraId="28BF6235" w14:textId="77777777" w:rsidR="006D45FB" w:rsidRPr="00493E76" w:rsidRDefault="006D45FB" w:rsidP="009508FA">
            <w:pPr>
              <w:pBdr>
                <w:top w:val="nil"/>
                <w:left w:val="nil"/>
                <w:bottom w:val="nil"/>
                <w:right w:val="nil"/>
                <w:between w:val="nil"/>
              </w:pBdr>
              <w:spacing w:after="60"/>
              <w:ind w:left="426" w:right="-105"/>
              <w:jc w:val="both"/>
              <w:rPr>
                <w:rFonts w:ascii="Arial" w:eastAsia="Arial" w:hAnsi="Arial" w:cs="Arial"/>
                <w:color w:val="000000"/>
              </w:rPr>
            </w:pPr>
            <w:r w:rsidRPr="00493E76">
              <w:rPr>
                <w:rFonts w:ascii="Arial" w:eastAsia="Arial" w:hAnsi="Arial" w:cs="Arial"/>
                <w:color w:val="000000"/>
              </w:rPr>
              <w:t>- информацию о компании с примерами работ в ИТ-отрасли и аналогичными задачами за последние 3 года с указанием заказчика, года реализации проекта, объема работ, результатами достижения KPI, релевантными фото и ссылками с материалами проектов;</w:t>
            </w:r>
          </w:p>
          <w:p w14:paraId="45195292" w14:textId="77777777" w:rsidR="006D45FB" w:rsidRDefault="006D45FB" w:rsidP="009508FA">
            <w:pPr>
              <w:pStyle w:val="Inn1"/>
              <w:numPr>
                <w:ilvl w:val="0"/>
                <w:numId w:val="0"/>
              </w:numPr>
              <w:spacing w:line="240" w:lineRule="auto"/>
              <w:ind w:left="426" w:right="50"/>
              <w:jc w:val="both"/>
              <w:rPr>
                <w:rFonts w:ascii="Arial" w:eastAsia="Arial" w:hAnsi="Arial"/>
                <w:color w:val="030125"/>
              </w:rPr>
            </w:pPr>
            <w:r w:rsidRPr="00493E76">
              <w:rPr>
                <w:rFonts w:ascii="Arial" w:eastAsia="Arial" w:hAnsi="Arial"/>
                <w:color w:val="000000"/>
              </w:rPr>
              <w:t>- готовность</w:t>
            </w:r>
            <w:r w:rsidRPr="00493E76">
              <w:rPr>
                <w:rFonts w:ascii="Arial" w:eastAsia="Arial" w:hAnsi="Arial"/>
                <w:color w:val="030125"/>
              </w:rPr>
              <w:t xml:space="preserve"> предоставить контакты заказчиков для рекомендаций по релевантным проектам, реализованным в течение последних 3 лет.</w:t>
            </w:r>
          </w:p>
          <w:p w14:paraId="5127513C" w14:textId="77777777" w:rsidR="006D45FB" w:rsidRPr="00493E76" w:rsidRDefault="006D45FB" w:rsidP="009508FA">
            <w:pPr>
              <w:pStyle w:val="Inn1"/>
              <w:numPr>
                <w:ilvl w:val="0"/>
                <w:numId w:val="0"/>
              </w:numPr>
              <w:spacing w:line="240" w:lineRule="auto"/>
              <w:ind w:left="426" w:right="50"/>
              <w:jc w:val="both"/>
              <w:rPr>
                <w:rFonts w:ascii="Arial" w:hAnsi="Arial"/>
                <w:color w:val="000000" w:themeColor="text1"/>
              </w:rPr>
            </w:pPr>
          </w:p>
        </w:tc>
      </w:tr>
      <w:tr w:rsidR="006D45FB" w:rsidRPr="00234111" w14:paraId="57CC7EA8" w14:textId="77777777" w:rsidTr="00136F00">
        <w:trPr>
          <w:trHeight w:val="397"/>
        </w:trPr>
        <w:tc>
          <w:tcPr>
            <w:tcW w:w="865" w:type="dxa"/>
            <w:tcBorders>
              <w:top w:val="single" w:sz="6" w:space="0" w:color="C6D9F1" w:themeColor="text2" w:themeTint="33"/>
              <w:bottom w:val="single" w:sz="6" w:space="0" w:color="C6D9F1" w:themeColor="text2" w:themeTint="33"/>
            </w:tcBorders>
            <w:vAlign w:val="center"/>
          </w:tcPr>
          <w:p w14:paraId="616A07B1" w14:textId="77777777" w:rsidR="006D45FB" w:rsidRPr="00493E76" w:rsidRDefault="006D45FB" w:rsidP="009508FA">
            <w:pPr>
              <w:pStyle w:val="Inn1"/>
              <w:numPr>
                <w:ilvl w:val="0"/>
                <w:numId w:val="14"/>
              </w:numPr>
              <w:spacing w:line="240" w:lineRule="auto"/>
              <w:ind w:right="50"/>
              <w:jc w:val="both"/>
              <w:rPr>
                <w:rFonts w:ascii="Arial" w:hAnsi="Arial"/>
                <w:color w:val="000000" w:themeColor="text1"/>
              </w:rPr>
            </w:pPr>
          </w:p>
        </w:tc>
        <w:tc>
          <w:tcPr>
            <w:tcW w:w="7781" w:type="dxa"/>
            <w:tcBorders>
              <w:top w:val="single" w:sz="6" w:space="0" w:color="C6D9F1" w:themeColor="text2" w:themeTint="33"/>
              <w:bottom w:val="single" w:sz="6" w:space="0" w:color="C6D9F1" w:themeColor="text2" w:themeTint="33"/>
            </w:tcBorders>
            <w:shd w:val="clear" w:color="auto" w:fill="auto"/>
            <w:vAlign w:val="center"/>
          </w:tcPr>
          <w:p w14:paraId="3BB5EF56" w14:textId="77777777" w:rsidR="006D45FB" w:rsidRPr="00234111" w:rsidRDefault="006D45FB" w:rsidP="00234111">
            <w:pPr>
              <w:spacing w:after="60"/>
              <w:ind w:left="426" w:right="-105"/>
              <w:jc w:val="both"/>
              <w:rPr>
                <w:rFonts w:ascii="Arial" w:eastAsia="Arial" w:hAnsi="Arial" w:cs="Arial"/>
                <w:color w:val="030125"/>
              </w:rPr>
            </w:pPr>
          </w:p>
          <w:p w14:paraId="0E7AE501" w14:textId="2E7340D1" w:rsidR="00EA1828" w:rsidRPr="00234111" w:rsidRDefault="00EA1828" w:rsidP="002341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right="-105"/>
              <w:rPr>
                <w:rFonts w:ascii="Arial" w:eastAsia="Arial" w:hAnsi="Arial" w:cs="Arial"/>
                <w:color w:val="030125"/>
              </w:rPr>
            </w:pPr>
            <w:r w:rsidRPr="00EA1828">
              <w:rPr>
                <w:rFonts w:ascii="Arial" w:eastAsia="Arial" w:hAnsi="Arial" w:cs="Arial"/>
                <w:color w:val="030125"/>
              </w:rPr>
              <w:t>Собственный штат сотрудников включает руководителя проекта, программного директора, менеджеров по PR, дизайнера и др. специалистов для выполнения поставленных целей.</w:t>
            </w:r>
          </w:p>
          <w:p w14:paraId="4986EA04" w14:textId="6A1CF50C" w:rsidR="006D45FB" w:rsidRPr="00234111" w:rsidRDefault="00234111" w:rsidP="00234111">
            <w:pPr>
              <w:spacing w:after="60"/>
              <w:ind w:right="-105"/>
              <w:jc w:val="both"/>
              <w:rPr>
                <w:rFonts w:ascii="Arial" w:eastAsia="Arial" w:hAnsi="Arial" w:cs="Arial"/>
                <w:color w:val="030125"/>
              </w:rPr>
            </w:pPr>
            <w:r w:rsidRPr="00234111">
              <w:rPr>
                <w:rFonts w:ascii="Arial" w:eastAsia="Arial" w:hAnsi="Arial" w:cs="Arial"/>
                <w:color w:val="030125"/>
              </w:rPr>
              <w:t>Участники тендера должны предоставить описание состава проектной команды для реализации задач по данному RFP с приложением резюме специалистов участника тендера, которых планируется привлекать к исполнению Договора, содержащих их ФИО, информацию об образовании, опыте работы, успешно реализованных коммуникационных проектах в новых медиа и роли в команде.</w:t>
            </w:r>
          </w:p>
        </w:tc>
      </w:tr>
      <w:tr w:rsidR="006D45FB" w:rsidRPr="00493E76" w14:paraId="15E2476A" w14:textId="77777777" w:rsidTr="00136F00">
        <w:trPr>
          <w:trHeight w:val="397"/>
        </w:trPr>
        <w:tc>
          <w:tcPr>
            <w:tcW w:w="865" w:type="dxa"/>
            <w:tcBorders>
              <w:top w:val="single" w:sz="6" w:space="0" w:color="C6D9F1" w:themeColor="text2" w:themeTint="33"/>
              <w:bottom w:val="single" w:sz="6" w:space="0" w:color="C6D9F1" w:themeColor="text2" w:themeTint="33"/>
            </w:tcBorders>
            <w:vAlign w:val="center"/>
          </w:tcPr>
          <w:p w14:paraId="5B23DFC0" w14:textId="77777777" w:rsidR="006D45FB" w:rsidRPr="00493E76" w:rsidRDefault="006D45FB" w:rsidP="009508FA">
            <w:pPr>
              <w:pStyle w:val="Inn1"/>
              <w:numPr>
                <w:ilvl w:val="0"/>
                <w:numId w:val="14"/>
              </w:numPr>
              <w:spacing w:line="240" w:lineRule="auto"/>
              <w:ind w:right="50"/>
              <w:jc w:val="both"/>
              <w:rPr>
                <w:rFonts w:ascii="Arial" w:hAnsi="Arial"/>
                <w:color w:val="000000" w:themeColor="text1"/>
              </w:rPr>
            </w:pPr>
          </w:p>
        </w:tc>
        <w:tc>
          <w:tcPr>
            <w:tcW w:w="7781" w:type="dxa"/>
            <w:tcBorders>
              <w:top w:val="single" w:sz="6" w:space="0" w:color="C6D9F1" w:themeColor="text2" w:themeTint="33"/>
              <w:bottom w:val="single" w:sz="6" w:space="0" w:color="C6D9F1" w:themeColor="text2" w:themeTint="33"/>
            </w:tcBorders>
            <w:shd w:val="clear" w:color="auto" w:fill="auto"/>
            <w:vAlign w:val="center"/>
          </w:tcPr>
          <w:p w14:paraId="0A4BB819" w14:textId="77777777" w:rsidR="006D45FB" w:rsidRPr="00493E76" w:rsidRDefault="006D45FB" w:rsidP="00234111">
            <w:pPr>
              <w:ind w:right="50"/>
              <w:jc w:val="both"/>
              <w:rPr>
                <w:rFonts w:ascii="Arial" w:hAnsi="Arial" w:cs="Arial"/>
              </w:rPr>
            </w:pPr>
            <w:r w:rsidRPr="00493E76">
              <w:rPr>
                <w:rFonts w:ascii="Arial" w:hAnsi="Arial" w:cs="Arial"/>
                <w:color w:val="000000" w:themeColor="text1"/>
              </w:rPr>
              <w:t>Прохождение тестового задания по брифу Заказчика.</w:t>
            </w:r>
          </w:p>
        </w:tc>
      </w:tr>
      <w:tr w:rsidR="006D45FB" w:rsidRPr="00493E76" w14:paraId="2B303FE1" w14:textId="77777777" w:rsidTr="00136F00">
        <w:trPr>
          <w:trHeight w:val="397"/>
        </w:trPr>
        <w:tc>
          <w:tcPr>
            <w:tcW w:w="865" w:type="dxa"/>
            <w:tcBorders>
              <w:top w:val="single" w:sz="6" w:space="0" w:color="C6D9F1" w:themeColor="text2" w:themeTint="33"/>
            </w:tcBorders>
            <w:vAlign w:val="center"/>
          </w:tcPr>
          <w:p w14:paraId="24DA670E" w14:textId="77777777" w:rsidR="006D45FB" w:rsidRPr="00493E76" w:rsidRDefault="006D45FB" w:rsidP="009508FA">
            <w:pPr>
              <w:pStyle w:val="Inn1"/>
              <w:numPr>
                <w:ilvl w:val="0"/>
                <w:numId w:val="14"/>
              </w:numPr>
              <w:spacing w:line="240" w:lineRule="auto"/>
              <w:ind w:right="50"/>
              <w:jc w:val="both"/>
              <w:rPr>
                <w:rFonts w:ascii="Arial" w:hAnsi="Arial"/>
                <w:color w:val="000000" w:themeColor="text1"/>
              </w:rPr>
            </w:pPr>
          </w:p>
        </w:tc>
        <w:tc>
          <w:tcPr>
            <w:tcW w:w="7781" w:type="dxa"/>
            <w:tcBorders>
              <w:top w:val="single" w:sz="6" w:space="0" w:color="C6D9F1" w:themeColor="text2" w:themeTint="33"/>
            </w:tcBorders>
            <w:shd w:val="clear" w:color="auto" w:fill="auto"/>
            <w:vAlign w:val="center"/>
          </w:tcPr>
          <w:p w14:paraId="69B04ABE" w14:textId="76DD4AD2" w:rsidR="006D45FB" w:rsidRPr="00234111" w:rsidRDefault="00234111" w:rsidP="00234111">
            <w:pPr>
              <w:pStyle w:val="Inn1"/>
              <w:numPr>
                <w:ilvl w:val="0"/>
                <w:numId w:val="0"/>
              </w:numPr>
              <w:spacing w:line="240" w:lineRule="auto"/>
              <w:ind w:right="50"/>
              <w:jc w:val="both"/>
              <w:rPr>
                <w:rFonts w:ascii="Arial" w:eastAsia="Arial" w:hAnsi="Arial"/>
                <w:color w:val="030125"/>
              </w:rPr>
            </w:pPr>
            <w:r>
              <w:rPr>
                <w:rFonts w:ascii="Arial" w:eastAsia="Arial" w:hAnsi="Arial"/>
                <w:color w:val="030125"/>
              </w:rPr>
              <w:t xml:space="preserve">При невыполнении </w:t>
            </w:r>
            <w:r>
              <w:rPr>
                <w:rFonts w:ascii="Arial" w:eastAsia="Arial" w:hAnsi="Arial"/>
                <w:color w:val="030125"/>
                <w:lang w:val="en-US"/>
              </w:rPr>
              <w:t>KPI</w:t>
            </w:r>
            <w:r>
              <w:rPr>
                <w:rFonts w:ascii="Arial" w:eastAsia="Arial" w:hAnsi="Arial"/>
                <w:color w:val="030125"/>
              </w:rPr>
              <w:t xml:space="preserve">, прописанных в условиях </w:t>
            </w:r>
            <w:proofErr w:type="spellStart"/>
            <w:r>
              <w:rPr>
                <w:rFonts w:ascii="Arial" w:eastAsia="Arial" w:hAnsi="Arial"/>
                <w:color w:val="030125"/>
              </w:rPr>
              <w:t>ретейнера</w:t>
            </w:r>
            <w:proofErr w:type="spellEnd"/>
            <w:r>
              <w:rPr>
                <w:rFonts w:ascii="Arial" w:eastAsia="Arial" w:hAnsi="Arial"/>
                <w:color w:val="030125"/>
              </w:rPr>
              <w:t xml:space="preserve">, в течение трех месяцев Заказчик оставляет за собой право расторгнуть договор в одностороннем порядке. </w:t>
            </w:r>
          </w:p>
        </w:tc>
      </w:tr>
    </w:tbl>
    <w:p w14:paraId="750F60F1" w14:textId="77777777" w:rsidR="006D45FB" w:rsidRPr="00493E76" w:rsidRDefault="006D45FB" w:rsidP="009508FA">
      <w:pPr>
        <w:pBdr>
          <w:top w:val="nil"/>
          <w:left w:val="nil"/>
          <w:bottom w:val="nil"/>
          <w:right w:val="nil"/>
          <w:between w:val="nil"/>
        </w:pBdr>
        <w:tabs>
          <w:tab w:val="left" w:pos="1276"/>
          <w:tab w:val="left" w:pos="2552"/>
          <w:tab w:val="left" w:pos="2977"/>
          <w:tab w:val="left" w:pos="3686"/>
          <w:tab w:val="left" w:pos="5245"/>
          <w:tab w:val="left" w:pos="5812"/>
        </w:tabs>
        <w:spacing w:after="60" w:line="240" w:lineRule="auto"/>
        <w:ind w:left="426" w:right="142"/>
        <w:jc w:val="both"/>
        <w:rPr>
          <w:color w:val="000000"/>
          <w:sz w:val="20"/>
          <w:szCs w:val="20"/>
        </w:rPr>
      </w:pPr>
    </w:p>
    <w:tbl>
      <w:tblPr>
        <w:tblpPr w:leftFromText="180" w:rightFromText="180" w:vertAnchor="text" w:tblpX="284" w:tblpY="1"/>
        <w:tblW w:w="10064" w:type="dxa"/>
        <w:tblBorders>
          <w:top w:val="nil"/>
          <w:left w:val="nil"/>
          <w:bottom w:val="nil"/>
          <w:right w:val="nil"/>
          <w:insideH w:val="single" w:sz="6" w:space="0" w:color="CCD7FF"/>
          <w:insideV w:val="nil"/>
        </w:tblBorders>
        <w:tblLayout w:type="fixed"/>
        <w:tblLook w:val="0400" w:firstRow="0" w:lastRow="0" w:firstColumn="0" w:lastColumn="0" w:noHBand="0" w:noVBand="1"/>
      </w:tblPr>
      <w:tblGrid>
        <w:gridCol w:w="8931"/>
        <w:gridCol w:w="1133"/>
      </w:tblGrid>
      <w:tr w:rsidR="006D45FB" w:rsidRPr="00493E76" w14:paraId="5DBD9CD9" w14:textId="77777777" w:rsidTr="00136F00">
        <w:trPr>
          <w:trHeight w:val="1077"/>
        </w:trPr>
        <w:tc>
          <w:tcPr>
            <w:tcW w:w="8931" w:type="dxa"/>
            <w:vAlign w:val="center"/>
          </w:tcPr>
          <w:p w14:paraId="3CC4BD0B" w14:textId="3872E41B" w:rsidR="006D45FB" w:rsidRPr="00DD5E13" w:rsidRDefault="006D45FB" w:rsidP="00295F9F">
            <w:pPr>
              <w:pStyle w:val="ad"/>
              <w:numPr>
                <w:ilvl w:val="0"/>
                <w:numId w:val="25"/>
              </w:numPr>
              <w:spacing w:line="240" w:lineRule="auto"/>
              <w:jc w:val="both"/>
              <w:rPr>
                <w:b/>
                <w:sz w:val="20"/>
                <w:szCs w:val="20"/>
              </w:rPr>
            </w:pPr>
            <w:r w:rsidRPr="00DD5E13">
              <w:rPr>
                <w:b/>
                <w:sz w:val="20"/>
                <w:szCs w:val="20"/>
              </w:rPr>
              <w:t>Ц</w:t>
            </w:r>
            <w:r w:rsidR="00DD5E13">
              <w:rPr>
                <w:b/>
                <w:sz w:val="20"/>
                <w:szCs w:val="20"/>
                <w:lang w:val="ru-RU"/>
              </w:rPr>
              <w:t xml:space="preserve">ЕЛЬ ПРОВЕДЕНИЯ </w:t>
            </w:r>
            <w:r w:rsidR="00DD5E13">
              <w:rPr>
                <w:b/>
                <w:sz w:val="20"/>
                <w:szCs w:val="20"/>
                <w:lang w:val="en-US"/>
              </w:rPr>
              <w:t>RFP</w:t>
            </w:r>
            <w:r w:rsidR="00DD5E13">
              <w:rPr>
                <w:b/>
                <w:sz w:val="20"/>
                <w:szCs w:val="20"/>
                <w:lang w:val="ru-RU"/>
              </w:rPr>
              <w:t>:</w:t>
            </w:r>
          </w:p>
          <w:p w14:paraId="1523DADC" w14:textId="77777777" w:rsidR="00136F00" w:rsidRDefault="00136F00" w:rsidP="009508FA">
            <w:pPr>
              <w:pStyle w:val="ad"/>
              <w:spacing w:line="240" w:lineRule="auto"/>
              <w:jc w:val="both"/>
              <w:rPr>
                <w:b/>
                <w:sz w:val="20"/>
                <w:szCs w:val="20"/>
              </w:rPr>
            </w:pPr>
          </w:p>
          <w:p w14:paraId="09E3E539" w14:textId="3824A3E5" w:rsidR="00136F00" w:rsidRDefault="00136F00" w:rsidP="009508FA">
            <w:pPr>
              <w:spacing w:line="240" w:lineRule="auto"/>
              <w:ind w:left="720"/>
              <w:jc w:val="both"/>
              <w:rPr>
                <w:sz w:val="20"/>
                <w:szCs w:val="20"/>
              </w:rPr>
            </w:pPr>
            <w:r w:rsidRPr="006D45FB">
              <w:rPr>
                <w:sz w:val="20"/>
                <w:szCs w:val="20"/>
              </w:rPr>
              <w:t xml:space="preserve">Заключение контракта, сроком на </w:t>
            </w:r>
            <w:r w:rsidR="007F6810" w:rsidRPr="00295F9F">
              <w:rPr>
                <w:sz w:val="20"/>
                <w:szCs w:val="20"/>
                <w:lang w:val="ru-RU"/>
              </w:rPr>
              <w:t>12</w:t>
            </w:r>
            <w:r w:rsidR="007F6810" w:rsidRPr="006D45FB">
              <w:rPr>
                <w:sz w:val="20"/>
                <w:szCs w:val="20"/>
              </w:rPr>
              <w:t xml:space="preserve"> </w:t>
            </w:r>
            <w:r w:rsidR="007F6810">
              <w:rPr>
                <w:sz w:val="20"/>
                <w:szCs w:val="20"/>
                <w:lang w:val="ru-RU"/>
              </w:rPr>
              <w:t>месяцев</w:t>
            </w:r>
            <w:r w:rsidRPr="006D45FB">
              <w:rPr>
                <w:sz w:val="20"/>
                <w:szCs w:val="20"/>
              </w:rPr>
              <w:t>, с агентством, готовым обеспечить предоставление указанного объема услуг с наивысшим качеством за приемлемый бюджет.</w:t>
            </w:r>
          </w:p>
          <w:p w14:paraId="7AF38F4A" w14:textId="77777777" w:rsidR="00136F00" w:rsidRDefault="00136F00" w:rsidP="009508FA">
            <w:pPr>
              <w:pStyle w:val="ad"/>
              <w:spacing w:line="240" w:lineRule="auto"/>
              <w:jc w:val="both"/>
              <w:rPr>
                <w:b/>
                <w:sz w:val="20"/>
                <w:szCs w:val="20"/>
              </w:rPr>
            </w:pPr>
          </w:p>
          <w:p w14:paraId="111FBEB5" w14:textId="77777777" w:rsidR="00136F00" w:rsidRDefault="00136F00" w:rsidP="009508FA">
            <w:pPr>
              <w:pStyle w:val="ad"/>
              <w:spacing w:line="240" w:lineRule="auto"/>
              <w:jc w:val="both"/>
              <w:rPr>
                <w:b/>
                <w:sz w:val="20"/>
                <w:szCs w:val="20"/>
              </w:rPr>
            </w:pPr>
          </w:p>
          <w:p w14:paraId="16FA2E48" w14:textId="50B48583" w:rsidR="00C718DF" w:rsidRDefault="00C718DF" w:rsidP="00295F9F">
            <w:pPr>
              <w:pStyle w:val="ad"/>
              <w:numPr>
                <w:ilvl w:val="0"/>
                <w:numId w:val="25"/>
              </w:numPr>
              <w:spacing w:line="240" w:lineRule="auto"/>
              <w:jc w:val="both"/>
              <w:rPr>
                <w:b/>
                <w:sz w:val="20"/>
                <w:szCs w:val="20"/>
              </w:rPr>
            </w:pPr>
            <w:r w:rsidRPr="00C718DF">
              <w:rPr>
                <w:b/>
                <w:sz w:val="20"/>
                <w:szCs w:val="20"/>
              </w:rPr>
              <w:t>П</w:t>
            </w:r>
            <w:r w:rsidR="00DD5E13">
              <w:rPr>
                <w:b/>
                <w:sz w:val="20"/>
                <w:szCs w:val="20"/>
                <w:lang w:val="ru-RU"/>
              </w:rPr>
              <w:t>РЕДМЕТ ЗАКУПКИ:</w:t>
            </w:r>
          </w:p>
          <w:p w14:paraId="727F762E" w14:textId="77777777" w:rsidR="000F1A57" w:rsidRPr="000F1A57" w:rsidRDefault="000F1A57" w:rsidP="000F1A57">
            <w:pPr>
              <w:spacing w:line="240" w:lineRule="auto"/>
              <w:jc w:val="both"/>
              <w:rPr>
                <w:b/>
                <w:sz w:val="20"/>
                <w:szCs w:val="20"/>
              </w:rPr>
            </w:pPr>
          </w:p>
          <w:p w14:paraId="08815DF0" w14:textId="77809A6E" w:rsidR="000F1A57" w:rsidRDefault="000F1A57" w:rsidP="000F1A57">
            <w:pPr>
              <w:pStyle w:val="ad"/>
              <w:spacing w:line="240" w:lineRule="auto"/>
              <w:jc w:val="both"/>
              <w:rPr>
                <w:b/>
                <w:sz w:val="20"/>
                <w:szCs w:val="20"/>
              </w:rPr>
            </w:pPr>
            <w:r w:rsidRPr="00C718DF">
              <w:rPr>
                <w:b/>
                <w:sz w:val="20"/>
                <w:szCs w:val="20"/>
              </w:rPr>
              <w:t xml:space="preserve">Основные услуги </w:t>
            </w:r>
            <w:proofErr w:type="spellStart"/>
            <w:r w:rsidRPr="00C718DF">
              <w:rPr>
                <w:b/>
                <w:sz w:val="20"/>
                <w:szCs w:val="20"/>
              </w:rPr>
              <w:t>ретейнера</w:t>
            </w:r>
            <w:proofErr w:type="spellEnd"/>
            <w:r w:rsidRPr="00C718DF">
              <w:rPr>
                <w:b/>
                <w:sz w:val="20"/>
                <w:szCs w:val="20"/>
              </w:rPr>
              <w:t>:</w:t>
            </w:r>
          </w:p>
          <w:p w14:paraId="65FD7708" w14:textId="77777777" w:rsidR="000F1A57" w:rsidRDefault="000F1A57" w:rsidP="000F1A57">
            <w:pPr>
              <w:pStyle w:val="ad"/>
              <w:spacing w:line="240" w:lineRule="auto"/>
              <w:jc w:val="both"/>
              <w:rPr>
                <w:b/>
                <w:sz w:val="20"/>
                <w:szCs w:val="20"/>
              </w:rPr>
            </w:pPr>
          </w:p>
          <w:p w14:paraId="35233315" w14:textId="31BFB815" w:rsidR="00234111" w:rsidRPr="00EE1C13" w:rsidRDefault="00234111" w:rsidP="00EE1C13">
            <w:pPr>
              <w:pStyle w:val="ad"/>
              <w:numPr>
                <w:ilvl w:val="0"/>
                <w:numId w:val="30"/>
              </w:numPr>
              <w:spacing w:line="240" w:lineRule="auto"/>
              <w:jc w:val="both"/>
              <w:rPr>
                <w:sz w:val="20"/>
                <w:szCs w:val="20"/>
                <w:lang w:val="ru-RU"/>
              </w:rPr>
            </w:pPr>
            <w:r w:rsidRPr="00EE1C13">
              <w:rPr>
                <w:sz w:val="20"/>
                <w:szCs w:val="20"/>
                <w:lang w:val="ru-RU"/>
              </w:rPr>
              <w:t xml:space="preserve">Разработка стратегии продвижения Холдинга Т1 и бизнес-направлений в новых медиа, в том числе </w:t>
            </w:r>
            <w:r w:rsidRPr="00EE1C13">
              <w:rPr>
                <w:sz w:val="20"/>
                <w:szCs w:val="20"/>
              </w:rPr>
              <w:t xml:space="preserve">коллаборации </w:t>
            </w:r>
            <w:r w:rsidRPr="00EE1C13">
              <w:rPr>
                <w:sz w:val="20"/>
                <w:szCs w:val="20"/>
                <w:lang w:val="ru-RU"/>
              </w:rPr>
              <w:t xml:space="preserve">и интервью </w:t>
            </w:r>
            <w:r w:rsidRPr="00EE1C13">
              <w:rPr>
                <w:sz w:val="20"/>
                <w:szCs w:val="20"/>
              </w:rPr>
              <w:t>с лидерами мнений</w:t>
            </w:r>
            <w:r w:rsidRPr="00EE1C13">
              <w:rPr>
                <w:sz w:val="20"/>
                <w:szCs w:val="20"/>
                <w:lang w:val="ru-RU"/>
              </w:rPr>
              <w:t xml:space="preserve"> на популярных видео-хостингах (</w:t>
            </w:r>
            <w:proofErr w:type="spellStart"/>
            <w:r w:rsidRPr="00EE1C13">
              <w:rPr>
                <w:sz w:val="20"/>
                <w:szCs w:val="20"/>
                <w:lang w:val="en-US"/>
              </w:rPr>
              <w:t>Rutube</w:t>
            </w:r>
            <w:proofErr w:type="spellEnd"/>
            <w:r w:rsidRPr="00EE1C13">
              <w:rPr>
                <w:sz w:val="20"/>
                <w:szCs w:val="20"/>
                <w:lang w:val="ru-RU"/>
              </w:rPr>
              <w:t xml:space="preserve"> и др.)</w:t>
            </w:r>
            <w:r w:rsidR="00013B95" w:rsidRPr="00EE1C13">
              <w:rPr>
                <w:sz w:val="20"/>
                <w:szCs w:val="20"/>
                <w:lang w:val="ru-RU"/>
              </w:rPr>
              <w:t xml:space="preserve"> и </w:t>
            </w:r>
            <w:r w:rsidRPr="00EE1C13">
              <w:rPr>
                <w:sz w:val="20"/>
                <w:szCs w:val="20"/>
                <w:lang w:val="ru-RU"/>
              </w:rPr>
              <w:t>площадках для размещения подкастов</w:t>
            </w:r>
            <w:r w:rsidR="00013B95" w:rsidRPr="00EE1C13">
              <w:rPr>
                <w:sz w:val="20"/>
                <w:szCs w:val="20"/>
                <w:lang w:val="ru-RU"/>
              </w:rPr>
              <w:t xml:space="preserve">, а также </w:t>
            </w:r>
            <w:r w:rsidR="00EA1828">
              <w:rPr>
                <w:sz w:val="20"/>
                <w:szCs w:val="20"/>
                <w:lang w:val="ru-RU"/>
              </w:rPr>
              <w:t xml:space="preserve">нативная </w:t>
            </w:r>
            <w:r w:rsidR="00013B95" w:rsidRPr="00EE1C13">
              <w:rPr>
                <w:sz w:val="20"/>
                <w:szCs w:val="20"/>
                <w:lang w:val="ru-RU"/>
              </w:rPr>
              <w:t xml:space="preserve">интеграция в </w:t>
            </w:r>
            <w:r w:rsidR="00013B95" w:rsidRPr="00EE1C13">
              <w:rPr>
                <w:sz w:val="20"/>
                <w:szCs w:val="20"/>
                <w:lang w:val="en-US"/>
              </w:rPr>
              <w:t>Telegram</w:t>
            </w:r>
            <w:r w:rsidR="00013B95" w:rsidRPr="00EE1C13">
              <w:rPr>
                <w:sz w:val="20"/>
                <w:szCs w:val="20"/>
                <w:lang w:val="ru-RU"/>
              </w:rPr>
              <w:t>-каналы</w:t>
            </w:r>
            <w:r w:rsidRPr="00EE1C13">
              <w:rPr>
                <w:sz w:val="20"/>
                <w:szCs w:val="20"/>
                <w:lang w:val="ru-RU"/>
              </w:rPr>
              <w:t>.</w:t>
            </w:r>
            <w:r w:rsidR="00460F0F" w:rsidRPr="00EE1C13">
              <w:rPr>
                <w:sz w:val="20"/>
                <w:szCs w:val="20"/>
                <w:lang w:val="ru-RU"/>
              </w:rPr>
              <w:t xml:space="preserve"> При разработке стратегии необходимо учесть ключевые для Заказчика инфоповоды, а также участие в профильных мероприятиях </w:t>
            </w:r>
            <w:r w:rsidR="007E1F94" w:rsidRPr="00EE1C13">
              <w:rPr>
                <w:sz w:val="20"/>
                <w:szCs w:val="20"/>
                <w:lang w:val="ru-RU"/>
              </w:rPr>
              <w:t xml:space="preserve">(ПМЭФ, </w:t>
            </w:r>
            <w:proofErr w:type="spellStart"/>
            <w:r w:rsidR="007E1F94" w:rsidRPr="00EE1C13">
              <w:rPr>
                <w:sz w:val="20"/>
                <w:szCs w:val="20"/>
                <w:lang w:val="ru-RU"/>
              </w:rPr>
              <w:t>Финополис</w:t>
            </w:r>
            <w:proofErr w:type="spellEnd"/>
            <w:r w:rsidR="007E1F94" w:rsidRPr="00EE1C13">
              <w:rPr>
                <w:sz w:val="20"/>
                <w:szCs w:val="20"/>
                <w:lang w:val="ru-RU"/>
              </w:rPr>
              <w:t>, ЦИПР и другие).</w:t>
            </w:r>
            <w:r w:rsidRPr="00EE1C13">
              <w:rPr>
                <w:sz w:val="20"/>
                <w:szCs w:val="20"/>
                <w:lang w:val="ru-RU"/>
              </w:rPr>
              <w:t xml:space="preserve"> </w:t>
            </w:r>
            <w:r w:rsidRPr="00EE1C13">
              <w:rPr>
                <w:b/>
                <w:bCs/>
                <w:sz w:val="20"/>
                <w:szCs w:val="20"/>
                <w:lang w:val="ru-RU"/>
              </w:rPr>
              <w:t xml:space="preserve">Обновление документа проводится не </w:t>
            </w:r>
            <w:r w:rsidR="00406E25" w:rsidRPr="00EE1C13">
              <w:rPr>
                <w:b/>
                <w:bCs/>
                <w:sz w:val="20"/>
                <w:szCs w:val="20"/>
                <w:lang w:val="ru-RU"/>
              </w:rPr>
              <w:t xml:space="preserve">чаще </w:t>
            </w:r>
            <w:r w:rsidRPr="00EE1C13">
              <w:rPr>
                <w:b/>
                <w:bCs/>
                <w:sz w:val="20"/>
                <w:szCs w:val="20"/>
                <w:lang w:val="ru-RU"/>
              </w:rPr>
              <w:t>1 раза в год.</w:t>
            </w:r>
          </w:p>
          <w:p w14:paraId="25A05EF2" w14:textId="77777777" w:rsidR="00406E25" w:rsidRDefault="00406E25" w:rsidP="00406E25">
            <w:pPr>
              <w:spacing w:line="240" w:lineRule="auto"/>
              <w:jc w:val="both"/>
              <w:rPr>
                <w:sz w:val="20"/>
                <w:szCs w:val="20"/>
                <w:lang w:val="ru-RU"/>
              </w:rPr>
            </w:pPr>
          </w:p>
          <w:p w14:paraId="3B7CBD12" w14:textId="6B261A5A" w:rsidR="00406E25" w:rsidRPr="00406E25" w:rsidRDefault="00406E25" w:rsidP="00EE1C13">
            <w:pPr>
              <w:pStyle w:val="ad"/>
              <w:numPr>
                <w:ilvl w:val="0"/>
                <w:numId w:val="30"/>
              </w:numPr>
              <w:spacing w:line="240" w:lineRule="auto"/>
              <w:jc w:val="both"/>
              <w:rPr>
                <w:sz w:val="20"/>
                <w:szCs w:val="20"/>
                <w:lang w:val="ru-RU"/>
              </w:rPr>
            </w:pPr>
            <w:r w:rsidRPr="00406E25">
              <w:rPr>
                <w:sz w:val="20"/>
                <w:szCs w:val="20"/>
              </w:rPr>
              <w:t>Стратегическое и тактическое консалтинговое сопровождение Заказчика (в форме устных консультаций, сессий, звонков, а также подготовки письменных предложений, в т.ч. текстовых документов и презентаций в Microsoft Power Point) по проведению кампании, включая выбор оптимальных подходов к реализации данной коммуникационной стратегии в течение всего срока оказания услуг в согласованных с Заказчиком форматах.</w:t>
            </w:r>
            <w:r>
              <w:rPr>
                <w:sz w:val="20"/>
                <w:szCs w:val="20"/>
                <w:lang w:val="ru-RU"/>
              </w:rPr>
              <w:t xml:space="preserve"> </w:t>
            </w:r>
            <w:r w:rsidRPr="00406E25">
              <w:rPr>
                <w:b/>
                <w:bCs/>
                <w:sz w:val="20"/>
                <w:szCs w:val="20"/>
                <w:lang w:val="ru-RU"/>
              </w:rPr>
              <w:t>Проводится по запросу Заказчика.</w:t>
            </w:r>
            <w:r>
              <w:rPr>
                <w:sz w:val="20"/>
                <w:szCs w:val="20"/>
                <w:lang w:val="ru-RU"/>
              </w:rPr>
              <w:t xml:space="preserve"> </w:t>
            </w:r>
          </w:p>
          <w:p w14:paraId="5411EAC8" w14:textId="77777777" w:rsidR="00234111" w:rsidRDefault="00234111" w:rsidP="00234111">
            <w:pPr>
              <w:spacing w:line="240" w:lineRule="auto"/>
              <w:jc w:val="both"/>
              <w:rPr>
                <w:sz w:val="20"/>
                <w:szCs w:val="20"/>
                <w:lang w:val="ru-RU"/>
              </w:rPr>
            </w:pPr>
          </w:p>
          <w:p w14:paraId="7D167D83" w14:textId="22AB04D4" w:rsidR="007E1F94" w:rsidRPr="007E1F94" w:rsidRDefault="00406E25" w:rsidP="00EE1C13">
            <w:pPr>
              <w:pStyle w:val="ad"/>
              <w:numPr>
                <w:ilvl w:val="0"/>
                <w:numId w:val="30"/>
              </w:numPr>
              <w:spacing w:line="240" w:lineRule="auto"/>
              <w:jc w:val="both"/>
              <w:rPr>
                <w:sz w:val="20"/>
                <w:szCs w:val="20"/>
              </w:rPr>
            </w:pPr>
            <w:r w:rsidRPr="00406E25">
              <w:rPr>
                <w:sz w:val="20"/>
                <w:szCs w:val="20"/>
                <w:lang w:val="ru-RU"/>
              </w:rPr>
              <w:t>О</w:t>
            </w:r>
            <w:r w:rsidR="00234111" w:rsidRPr="00406E25">
              <w:rPr>
                <w:sz w:val="20"/>
                <w:szCs w:val="20"/>
                <w:lang w:val="ru-RU"/>
              </w:rPr>
              <w:t xml:space="preserve">бновление </w:t>
            </w:r>
            <w:r w:rsidRPr="00406E25">
              <w:rPr>
                <w:sz w:val="20"/>
                <w:szCs w:val="20"/>
                <w:lang w:val="ru-RU"/>
              </w:rPr>
              <w:t xml:space="preserve">коммуникационного плана </w:t>
            </w:r>
            <w:r w:rsidRPr="00406E25">
              <w:rPr>
                <w:b/>
                <w:bCs/>
                <w:sz w:val="20"/>
                <w:szCs w:val="20"/>
                <w:lang w:val="ru-RU"/>
              </w:rPr>
              <w:t>(не менее 1 раза в квартал)</w:t>
            </w:r>
            <w:r w:rsidRPr="00406E25">
              <w:rPr>
                <w:sz w:val="20"/>
                <w:szCs w:val="20"/>
                <w:lang w:val="ru-RU"/>
              </w:rPr>
              <w:t xml:space="preserve"> продвижения Заказчика в новых медиа, в том числе обновление потенциальных партнеров для коллабораций, каналов</w:t>
            </w:r>
            <w:r w:rsidR="00234111" w:rsidRPr="00406E25">
              <w:rPr>
                <w:sz w:val="20"/>
                <w:szCs w:val="20"/>
                <w:lang w:val="ru-RU"/>
              </w:rPr>
              <w:t xml:space="preserve"> </w:t>
            </w:r>
            <w:r w:rsidRPr="00406E25">
              <w:rPr>
                <w:sz w:val="20"/>
                <w:szCs w:val="20"/>
                <w:lang w:val="ru-RU"/>
              </w:rPr>
              <w:t xml:space="preserve">продвижения и тематического плана. </w:t>
            </w:r>
            <w:r w:rsidR="007E1F94" w:rsidRPr="00AB17A9">
              <w:rPr>
                <w:sz w:val="20"/>
                <w:szCs w:val="20"/>
              </w:rPr>
              <w:t>План коммуникаций</w:t>
            </w:r>
            <w:r w:rsidR="007E1F94" w:rsidRPr="00AB17A9">
              <w:rPr>
                <w:sz w:val="20"/>
                <w:szCs w:val="20"/>
                <w:lang w:val="ru-RU"/>
              </w:rPr>
              <w:t xml:space="preserve"> </w:t>
            </w:r>
            <w:r w:rsidR="007E1F94" w:rsidRPr="00AB17A9">
              <w:rPr>
                <w:sz w:val="20"/>
                <w:szCs w:val="20"/>
              </w:rPr>
              <w:t>должен включать</w:t>
            </w:r>
            <w:r w:rsidR="007E1F94" w:rsidRPr="00AB17A9">
              <w:rPr>
                <w:sz w:val="20"/>
                <w:szCs w:val="20"/>
                <w:lang w:val="ru-RU"/>
              </w:rPr>
              <w:t xml:space="preserve"> в себя</w:t>
            </w:r>
            <w:r w:rsidR="007E1F94" w:rsidRPr="00AB17A9">
              <w:rPr>
                <w:sz w:val="20"/>
                <w:szCs w:val="20"/>
              </w:rPr>
              <w:t xml:space="preserve"> (но не ограничиваться): </w:t>
            </w:r>
          </w:p>
          <w:p w14:paraId="62DA05FF" w14:textId="15E50179" w:rsidR="007E1F94" w:rsidRDefault="007E1F94" w:rsidP="007E1F94">
            <w:pPr>
              <w:pStyle w:val="ad"/>
              <w:spacing w:line="240" w:lineRule="auto"/>
              <w:ind w:left="1080"/>
              <w:jc w:val="both"/>
              <w:rPr>
                <w:sz w:val="20"/>
                <w:szCs w:val="20"/>
              </w:rPr>
            </w:pPr>
            <w:r w:rsidRPr="008F3897">
              <w:rPr>
                <w:sz w:val="20"/>
                <w:szCs w:val="20"/>
                <w:lang w:val="ru-RU"/>
              </w:rPr>
              <w:t xml:space="preserve">- </w:t>
            </w:r>
            <w:r>
              <w:rPr>
                <w:sz w:val="20"/>
                <w:szCs w:val="20"/>
                <w:lang w:val="ru-RU"/>
              </w:rPr>
              <w:t>к</w:t>
            </w:r>
            <w:proofErr w:type="spellStart"/>
            <w:r w:rsidRPr="008F3897">
              <w:rPr>
                <w:sz w:val="20"/>
                <w:szCs w:val="20"/>
              </w:rPr>
              <w:t>реативн</w:t>
            </w:r>
            <w:r w:rsidRPr="008F3897">
              <w:rPr>
                <w:sz w:val="20"/>
                <w:szCs w:val="20"/>
                <w:lang w:val="ru-RU"/>
              </w:rPr>
              <w:t>ые</w:t>
            </w:r>
            <w:proofErr w:type="spellEnd"/>
            <w:r w:rsidRPr="008F3897">
              <w:rPr>
                <w:sz w:val="20"/>
                <w:szCs w:val="20"/>
              </w:rPr>
              <w:t xml:space="preserve"> </w:t>
            </w:r>
            <w:proofErr w:type="spellStart"/>
            <w:r w:rsidRPr="008F3897">
              <w:rPr>
                <w:sz w:val="20"/>
                <w:szCs w:val="20"/>
              </w:rPr>
              <w:t>иде</w:t>
            </w:r>
            <w:proofErr w:type="spellEnd"/>
            <w:r w:rsidRPr="008F3897">
              <w:rPr>
                <w:sz w:val="20"/>
                <w:szCs w:val="20"/>
                <w:lang w:val="ru-RU"/>
              </w:rPr>
              <w:t>и</w:t>
            </w:r>
            <w:r w:rsidRPr="008F3897">
              <w:rPr>
                <w:sz w:val="20"/>
                <w:szCs w:val="20"/>
              </w:rPr>
              <w:t xml:space="preserve"> PR-</w:t>
            </w:r>
            <w:proofErr w:type="spellStart"/>
            <w:r w:rsidRPr="008F3897">
              <w:rPr>
                <w:sz w:val="20"/>
                <w:szCs w:val="20"/>
              </w:rPr>
              <w:t>кампани</w:t>
            </w:r>
            <w:proofErr w:type="spellEnd"/>
            <w:r w:rsidRPr="008F3897">
              <w:rPr>
                <w:sz w:val="20"/>
                <w:szCs w:val="20"/>
                <w:lang w:val="ru-RU"/>
              </w:rPr>
              <w:t>й</w:t>
            </w:r>
            <w:r w:rsidRPr="008F3897">
              <w:rPr>
                <w:sz w:val="20"/>
                <w:szCs w:val="20"/>
              </w:rPr>
              <w:t xml:space="preserve"> в формате 360;</w:t>
            </w:r>
          </w:p>
          <w:p w14:paraId="6124E7C5" w14:textId="2EE4A0CE" w:rsidR="007E1F94" w:rsidRDefault="007E1F94" w:rsidP="007E1F94">
            <w:pPr>
              <w:pStyle w:val="ad"/>
              <w:spacing w:line="240" w:lineRule="auto"/>
              <w:ind w:left="1080"/>
              <w:jc w:val="both"/>
              <w:rPr>
                <w:sz w:val="20"/>
                <w:szCs w:val="20"/>
                <w:lang w:val="ru-RU"/>
              </w:rPr>
            </w:pPr>
            <w:r>
              <w:rPr>
                <w:sz w:val="20"/>
                <w:szCs w:val="20"/>
                <w:lang w:val="ru-RU"/>
              </w:rPr>
              <w:t>- с</w:t>
            </w:r>
            <w:r w:rsidRPr="008F3897">
              <w:rPr>
                <w:sz w:val="20"/>
                <w:szCs w:val="20"/>
              </w:rPr>
              <w:t xml:space="preserve">писок </w:t>
            </w:r>
            <w:r w:rsidRPr="008F3897">
              <w:rPr>
                <w:sz w:val="20"/>
                <w:szCs w:val="20"/>
                <w:lang w:val="ru-RU"/>
              </w:rPr>
              <w:t xml:space="preserve">релевантных площадок </w:t>
            </w:r>
            <w:r w:rsidRPr="008F3897">
              <w:rPr>
                <w:sz w:val="20"/>
                <w:szCs w:val="20"/>
              </w:rPr>
              <w:t>в новых медиа</w:t>
            </w:r>
            <w:r w:rsidR="003A7AE1">
              <w:rPr>
                <w:sz w:val="20"/>
                <w:szCs w:val="20"/>
                <w:lang w:val="ru-RU"/>
              </w:rPr>
              <w:t xml:space="preserve"> (в том числе </w:t>
            </w:r>
            <w:r w:rsidR="003A7AE1" w:rsidRPr="008F3897">
              <w:rPr>
                <w:sz w:val="20"/>
                <w:szCs w:val="20"/>
              </w:rPr>
              <w:t>шоу на популярных видео-хостингах</w:t>
            </w:r>
            <w:r w:rsidR="003A7AE1">
              <w:rPr>
                <w:sz w:val="20"/>
                <w:szCs w:val="20"/>
                <w:lang w:val="ru-RU"/>
              </w:rPr>
              <w:t>)</w:t>
            </w:r>
            <w:r w:rsidRPr="008F3897">
              <w:rPr>
                <w:sz w:val="20"/>
                <w:szCs w:val="20"/>
              </w:rPr>
              <w:t xml:space="preserve"> </w:t>
            </w:r>
            <w:r w:rsidRPr="008F3897">
              <w:rPr>
                <w:sz w:val="20"/>
                <w:szCs w:val="20"/>
                <w:lang w:val="ru-RU"/>
              </w:rPr>
              <w:t xml:space="preserve">с описанием </w:t>
            </w:r>
            <w:r w:rsidRPr="008F3897">
              <w:rPr>
                <w:sz w:val="20"/>
                <w:szCs w:val="20"/>
              </w:rPr>
              <w:t xml:space="preserve">форматов коммуникаций в предлагаемых каналах применительно к </w:t>
            </w:r>
            <w:r w:rsidRPr="008F3897">
              <w:rPr>
                <w:sz w:val="20"/>
                <w:szCs w:val="20"/>
                <w:lang w:val="en-US"/>
              </w:rPr>
              <w:t>PR</w:t>
            </w:r>
            <w:r w:rsidRPr="008F3897">
              <w:rPr>
                <w:sz w:val="20"/>
                <w:szCs w:val="20"/>
                <w:lang w:val="ru-RU"/>
              </w:rPr>
              <w:t>-задачам Холдинга Т1, а также с описанием ожидаемого результата;</w:t>
            </w:r>
          </w:p>
          <w:p w14:paraId="7AB552F8" w14:textId="7B69682F" w:rsidR="00234111" w:rsidRDefault="007E1F94" w:rsidP="00E301B0">
            <w:pPr>
              <w:pStyle w:val="ad"/>
              <w:spacing w:line="240" w:lineRule="auto"/>
              <w:ind w:left="1080"/>
              <w:jc w:val="both"/>
              <w:rPr>
                <w:sz w:val="20"/>
                <w:szCs w:val="20"/>
                <w:lang w:val="ru-RU"/>
              </w:rPr>
            </w:pPr>
            <w:r>
              <w:rPr>
                <w:sz w:val="20"/>
                <w:szCs w:val="20"/>
                <w:lang w:val="ru-RU"/>
              </w:rPr>
              <w:t>- с</w:t>
            </w:r>
            <w:r w:rsidRPr="008F3897">
              <w:rPr>
                <w:sz w:val="20"/>
                <w:szCs w:val="20"/>
              </w:rPr>
              <w:t xml:space="preserve">писок </w:t>
            </w:r>
            <w:r w:rsidRPr="008F3897">
              <w:rPr>
                <w:sz w:val="20"/>
                <w:szCs w:val="20"/>
                <w:lang w:val="ru-RU"/>
              </w:rPr>
              <w:t>релевантных</w:t>
            </w:r>
            <w:r w:rsidRPr="008F3897">
              <w:rPr>
                <w:sz w:val="20"/>
                <w:szCs w:val="20"/>
              </w:rPr>
              <w:t xml:space="preserve"> подкастов </w:t>
            </w:r>
            <w:r w:rsidRPr="008F3897">
              <w:rPr>
                <w:sz w:val="20"/>
                <w:szCs w:val="20"/>
                <w:lang w:val="ru-RU"/>
              </w:rPr>
              <w:t xml:space="preserve">с описанием </w:t>
            </w:r>
            <w:r w:rsidRPr="008F3897">
              <w:rPr>
                <w:sz w:val="20"/>
                <w:szCs w:val="20"/>
              </w:rPr>
              <w:t xml:space="preserve">форматов коммуникаций в предлагаемых каналах применительно к </w:t>
            </w:r>
            <w:r w:rsidRPr="008F3897">
              <w:rPr>
                <w:sz w:val="20"/>
                <w:szCs w:val="20"/>
                <w:lang w:val="en-US"/>
              </w:rPr>
              <w:t>PR</w:t>
            </w:r>
            <w:r w:rsidRPr="008F3897">
              <w:rPr>
                <w:sz w:val="20"/>
                <w:szCs w:val="20"/>
                <w:lang w:val="ru-RU"/>
              </w:rPr>
              <w:t>-задачам Холдинга Т1, а также с описанием ожидаемого результата;</w:t>
            </w:r>
            <w:r w:rsidRPr="008F3897">
              <w:rPr>
                <w:sz w:val="20"/>
                <w:szCs w:val="20"/>
              </w:rPr>
              <w:t xml:space="preserve"> </w:t>
            </w:r>
          </w:p>
          <w:p w14:paraId="57B6CB7A" w14:textId="06220303" w:rsidR="00EA1828" w:rsidRPr="001F3543" w:rsidRDefault="00EA1828" w:rsidP="00E301B0">
            <w:pPr>
              <w:pStyle w:val="ad"/>
              <w:spacing w:line="240" w:lineRule="auto"/>
              <w:ind w:left="1080"/>
              <w:jc w:val="both"/>
              <w:rPr>
                <w:sz w:val="20"/>
                <w:szCs w:val="20"/>
                <w:lang w:val="ru-RU"/>
              </w:rPr>
            </w:pPr>
            <w:r>
              <w:rPr>
                <w:sz w:val="20"/>
                <w:szCs w:val="20"/>
                <w:lang w:val="ru-RU"/>
              </w:rPr>
              <w:t xml:space="preserve">- список релевантных </w:t>
            </w:r>
            <w:r>
              <w:rPr>
                <w:sz w:val="20"/>
                <w:szCs w:val="20"/>
                <w:lang w:val="en-US"/>
              </w:rPr>
              <w:t>TG</w:t>
            </w:r>
            <w:r>
              <w:rPr>
                <w:sz w:val="20"/>
                <w:szCs w:val="20"/>
                <w:lang w:val="ru-RU"/>
              </w:rPr>
              <w:t xml:space="preserve">-каналов для нативного продвижения Холдинга Т1 и его </w:t>
            </w:r>
            <w:r w:rsidR="001F3543">
              <w:rPr>
                <w:sz w:val="20"/>
                <w:szCs w:val="20"/>
                <w:lang w:val="ru-RU"/>
              </w:rPr>
              <w:t>инфоповодов.</w:t>
            </w:r>
          </w:p>
          <w:p w14:paraId="6C7F2FC7" w14:textId="77777777" w:rsidR="000F1A57" w:rsidRPr="00406E25" w:rsidRDefault="000F1A57" w:rsidP="00406E25">
            <w:pPr>
              <w:spacing w:line="240" w:lineRule="auto"/>
              <w:jc w:val="both"/>
              <w:rPr>
                <w:sz w:val="20"/>
                <w:szCs w:val="20"/>
              </w:rPr>
            </w:pPr>
          </w:p>
          <w:p w14:paraId="43E34DC5" w14:textId="5D5D3F80" w:rsidR="00CF5E87" w:rsidRPr="003A7AE1" w:rsidRDefault="000F1A57" w:rsidP="00EE1C13">
            <w:pPr>
              <w:pStyle w:val="ad"/>
              <w:numPr>
                <w:ilvl w:val="0"/>
                <w:numId w:val="30"/>
              </w:numPr>
              <w:spacing w:line="240" w:lineRule="auto"/>
              <w:jc w:val="both"/>
              <w:rPr>
                <w:b/>
                <w:sz w:val="20"/>
                <w:szCs w:val="20"/>
              </w:rPr>
            </w:pPr>
            <w:r w:rsidRPr="00BE6FFE">
              <w:rPr>
                <w:sz w:val="20"/>
                <w:szCs w:val="20"/>
              </w:rPr>
              <w:t xml:space="preserve">Реализация </w:t>
            </w:r>
            <w:r w:rsidR="00A000F5">
              <w:rPr>
                <w:sz w:val="20"/>
                <w:szCs w:val="20"/>
                <w:lang w:val="ru-RU"/>
              </w:rPr>
              <w:t>креативных кампаний</w:t>
            </w:r>
            <w:r w:rsidR="00295F9F">
              <w:rPr>
                <w:sz w:val="20"/>
                <w:szCs w:val="20"/>
                <w:lang w:val="ru-RU"/>
              </w:rPr>
              <w:t xml:space="preserve"> в формате 360</w:t>
            </w:r>
            <w:r w:rsidRPr="00BE6FFE">
              <w:rPr>
                <w:sz w:val="20"/>
                <w:szCs w:val="20"/>
              </w:rPr>
              <w:t>, включая</w:t>
            </w:r>
            <w:r w:rsidR="00AA7C9C">
              <w:rPr>
                <w:sz w:val="20"/>
                <w:szCs w:val="20"/>
                <w:lang w:val="ru-RU"/>
              </w:rPr>
              <w:t xml:space="preserve"> </w:t>
            </w:r>
            <w:r w:rsidR="00406E25" w:rsidRPr="00BE6FFE">
              <w:rPr>
                <w:sz w:val="20"/>
                <w:szCs w:val="20"/>
                <w:lang w:val="ru-RU"/>
              </w:rPr>
              <w:t>с</w:t>
            </w:r>
            <w:proofErr w:type="spellStart"/>
            <w:r w:rsidRPr="00BE6FFE">
              <w:rPr>
                <w:sz w:val="20"/>
                <w:szCs w:val="20"/>
              </w:rPr>
              <w:t>оздание</w:t>
            </w:r>
            <w:proofErr w:type="spellEnd"/>
            <w:r w:rsidRPr="00BE6FFE">
              <w:rPr>
                <w:sz w:val="20"/>
                <w:szCs w:val="20"/>
              </w:rPr>
              <w:t xml:space="preserve"> контента, </w:t>
            </w:r>
            <w:r w:rsidRPr="00BE6FFE">
              <w:rPr>
                <w:sz w:val="20"/>
                <w:szCs w:val="20"/>
                <w:lang w:val="ru-RU"/>
              </w:rPr>
              <w:t>необходимого для коммуникационных проектов в новых медиа</w:t>
            </w:r>
            <w:r w:rsidRPr="00BE6FFE">
              <w:rPr>
                <w:sz w:val="20"/>
                <w:szCs w:val="20"/>
              </w:rPr>
              <w:t xml:space="preserve">: написание текстов, </w:t>
            </w:r>
            <w:r w:rsidRPr="00BE6FFE">
              <w:rPr>
                <w:sz w:val="20"/>
                <w:szCs w:val="20"/>
                <w:lang w:val="ru-RU"/>
              </w:rPr>
              <w:t xml:space="preserve">разработка сценариев, </w:t>
            </w:r>
            <w:r w:rsidRPr="00BE6FFE">
              <w:rPr>
                <w:sz w:val="20"/>
                <w:szCs w:val="20"/>
              </w:rPr>
              <w:t xml:space="preserve">создание </w:t>
            </w:r>
            <w:r w:rsidRPr="00BE6FFE">
              <w:rPr>
                <w:sz w:val="20"/>
                <w:szCs w:val="20"/>
                <w:lang w:val="ru-RU"/>
              </w:rPr>
              <w:t>визуальных материалов</w:t>
            </w:r>
            <w:r w:rsidRPr="00BE6FFE">
              <w:rPr>
                <w:sz w:val="20"/>
                <w:szCs w:val="20"/>
              </w:rPr>
              <w:t xml:space="preserve">, видео- и </w:t>
            </w:r>
            <w:proofErr w:type="spellStart"/>
            <w:r w:rsidRPr="00BE6FFE">
              <w:rPr>
                <w:sz w:val="20"/>
                <w:szCs w:val="20"/>
              </w:rPr>
              <w:t>др</w:t>
            </w:r>
            <w:r w:rsidR="00406E25" w:rsidRPr="00BE6FFE">
              <w:rPr>
                <w:sz w:val="20"/>
                <w:szCs w:val="20"/>
                <w:lang w:val="ru-RU"/>
              </w:rPr>
              <w:t>угого</w:t>
            </w:r>
            <w:proofErr w:type="spellEnd"/>
            <w:r w:rsidR="00406E25" w:rsidRPr="00BE6FFE">
              <w:rPr>
                <w:sz w:val="20"/>
                <w:szCs w:val="20"/>
                <w:lang w:val="ru-RU"/>
              </w:rPr>
              <w:t xml:space="preserve"> </w:t>
            </w:r>
            <w:r w:rsidRPr="00BE6FFE">
              <w:rPr>
                <w:sz w:val="20"/>
                <w:szCs w:val="20"/>
              </w:rPr>
              <w:t>контента, предусмотренных концепцией и медиапланом</w:t>
            </w:r>
            <w:r w:rsidR="00AA7C9C">
              <w:rPr>
                <w:sz w:val="20"/>
                <w:szCs w:val="20"/>
                <w:lang w:val="ru-RU"/>
              </w:rPr>
              <w:t>, а также проведение оплаты третьим лицам в рамках выполнения задачи</w:t>
            </w:r>
            <w:r w:rsidR="00BE6FFE">
              <w:rPr>
                <w:sz w:val="20"/>
                <w:szCs w:val="20"/>
                <w:lang w:val="ru-RU"/>
              </w:rPr>
              <w:t xml:space="preserve">. </w:t>
            </w:r>
            <w:r w:rsidR="00BE6FFE" w:rsidRPr="00BE6FFE">
              <w:rPr>
                <w:b/>
                <w:bCs/>
                <w:sz w:val="20"/>
                <w:szCs w:val="20"/>
                <w:lang w:val="ru-RU"/>
              </w:rPr>
              <w:t xml:space="preserve">Не менее </w:t>
            </w:r>
            <w:r w:rsidR="00013B95" w:rsidRPr="00A000F5">
              <w:rPr>
                <w:b/>
                <w:bCs/>
                <w:sz w:val="20"/>
                <w:szCs w:val="20"/>
                <w:lang w:val="ru-RU"/>
              </w:rPr>
              <w:t xml:space="preserve">4 </w:t>
            </w:r>
            <w:r w:rsidR="00013B95">
              <w:rPr>
                <w:b/>
                <w:bCs/>
                <w:sz w:val="20"/>
                <w:szCs w:val="20"/>
                <w:lang w:val="ru-RU"/>
              </w:rPr>
              <w:t>кампаний в год.</w:t>
            </w:r>
          </w:p>
          <w:p w14:paraId="563B8F86" w14:textId="77777777" w:rsidR="003A7AE1" w:rsidRDefault="003A7AE1" w:rsidP="003A7AE1">
            <w:pPr>
              <w:spacing w:line="240" w:lineRule="auto"/>
              <w:jc w:val="both"/>
              <w:rPr>
                <w:b/>
                <w:sz w:val="20"/>
                <w:szCs w:val="20"/>
              </w:rPr>
            </w:pPr>
          </w:p>
          <w:p w14:paraId="7E2565DC" w14:textId="46FB5844" w:rsidR="003A7AE1" w:rsidRPr="00EE1C13" w:rsidRDefault="00D32F8B" w:rsidP="00EE1C13">
            <w:pPr>
              <w:pStyle w:val="ad"/>
              <w:numPr>
                <w:ilvl w:val="0"/>
                <w:numId w:val="30"/>
              </w:numPr>
              <w:spacing w:line="240" w:lineRule="auto"/>
              <w:jc w:val="both"/>
              <w:rPr>
                <w:bCs/>
                <w:sz w:val="20"/>
                <w:szCs w:val="20"/>
                <w:lang w:val="ru-RU"/>
              </w:rPr>
            </w:pPr>
            <w:r w:rsidRPr="00EE1C13">
              <w:rPr>
                <w:bCs/>
                <w:sz w:val="20"/>
                <w:szCs w:val="20"/>
                <w:lang w:val="ru-RU"/>
              </w:rPr>
              <w:t xml:space="preserve">Реализация </w:t>
            </w:r>
            <w:r w:rsidR="00AA7C9C" w:rsidRPr="00EE1C13">
              <w:rPr>
                <w:bCs/>
                <w:sz w:val="20"/>
                <w:szCs w:val="20"/>
                <w:lang w:val="ru-RU"/>
              </w:rPr>
              <w:t xml:space="preserve">плана по </w:t>
            </w:r>
            <w:r w:rsidRPr="00EE1C13">
              <w:rPr>
                <w:bCs/>
                <w:sz w:val="20"/>
                <w:szCs w:val="20"/>
                <w:lang w:val="ru-RU"/>
              </w:rPr>
              <w:t>интеграци</w:t>
            </w:r>
            <w:r w:rsidR="00AA7C9C" w:rsidRPr="00EE1C13">
              <w:rPr>
                <w:bCs/>
                <w:sz w:val="20"/>
                <w:szCs w:val="20"/>
                <w:lang w:val="ru-RU"/>
              </w:rPr>
              <w:t>и</w:t>
            </w:r>
            <w:r w:rsidRPr="00EE1C13">
              <w:rPr>
                <w:bCs/>
                <w:sz w:val="20"/>
                <w:szCs w:val="20"/>
                <w:lang w:val="ru-RU"/>
              </w:rPr>
              <w:t xml:space="preserve"> ключевых спикеров холдинга в шоу на </w:t>
            </w:r>
            <w:proofErr w:type="spellStart"/>
            <w:r w:rsidRPr="00EE1C13">
              <w:rPr>
                <w:bCs/>
                <w:sz w:val="20"/>
                <w:szCs w:val="20"/>
                <w:lang w:val="en-US"/>
              </w:rPr>
              <w:t>RuTube</w:t>
            </w:r>
            <w:proofErr w:type="spellEnd"/>
            <w:r w:rsidR="00AA7C9C" w:rsidRPr="00EE1C13">
              <w:rPr>
                <w:bCs/>
                <w:sz w:val="20"/>
                <w:szCs w:val="20"/>
                <w:lang w:val="ru-RU"/>
              </w:rPr>
              <w:t xml:space="preserve"> и других видеохостингах, в том числе подготовка спикера, создание визуальных материалов,</w:t>
            </w:r>
            <w:r w:rsidR="00516B29" w:rsidRPr="00EE1C13">
              <w:rPr>
                <w:bCs/>
                <w:sz w:val="20"/>
                <w:szCs w:val="20"/>
                <w:lang w:val="ru-RU"/>
              </w:rPr>
              <w:t xml:space="preserve"> </w:t>
            </w:r>
            <w:r w:rsidR="00AA7C9C" w:rsidRPr="00EE1C13">
              <w:rPr>
                <w:bCs/>
                <w:sz w:val="20"/>
                <w:szCs w:val="20"/>
                <w:lang w:val="ru-RU"/>
              </w:rPr>
              <w:t xml:space="preserve">аудио- и другого контента, предусмотренного концепцией и </w:t>
            </w:r>
            <w:proofErr w:type="spellStart"/>
            <w:r w:rsidR="00AA7C9C" w:rsidRPr="00EE1C13">
              <w:rPr>
                <w:bCs/>
                <w:sz w:val="20"/>
                <w:szCs w:val="20"/>
                <w:lang w:val="ru-RU"/>
              </w:rPr>
              <w:t>медиапланом</w:t>
            </w:r>
            <w:proofErr w:type="spellEnd"/>
            <w:r w:rsidR="00AA7C9C" w:rsidRPr="00EE1C13">
              <w:rPr>
                <w:bCs/>
                <w:sz w:val="20"/>
                <w:szCs w:val="20"/>
                <w:lang w:val="ru-RU"/>
              </w:rPr>
              <w:t xml:space="preserve">, </w:t>
            </w:r>
            <w:r w:rsidR="00AA7C9C" w:rsidRPr="00EE1C13">
              <w:rPr>
                <w:sz w:val="20"/>
                <w:szCs w:val="20"/>
                <w:lang w:val="ru-RU"/>
              </w:rPr>
              <w:t xml:space="preserve">а также проведение оплаты третьим лицам в рамках выполнения задачи. </w:t>
            </w:r>
            <w:r w:rsidR="00AA7C9C" w:rsidRPr="00EE1C13">
              <w:rPr>
                <w:b/>
                <w:bCs/>
                <w:sz w:val="20"/>
                <w:szCs w:val="20"/>
                <w:lang w:val="ru-RU"/>
              </w:rPr>
              <w:t xml:space="preserve">Не менее </w:t>
            </w:r>
            <w:r w:rsidR="00EE1C13" w:rsidRPr="00EE1C13">
              <w:rPr>
                <w:b/>
                <w:bCs/>
                <w:sz w:val="20"/>
                <w:szCs w:val="20"/>
                <w:lang w:val="ru-RU"/>
              </w:rPr>
              <w:t>12</w:t>
            </w:r>
            <w:r w:rsidR="00AA7C9C" w:rsidRPr="00EE1C13">
              <w:rPr>
                <w:b/>
                <w:bCs/>
                <w:sz w:val="20"/>
                <w:szCs w:val="20"/>
                <w:lang w:val="ru-RU"/>
              </w:rPr>
              <w:t xml:space="preserve"> интеграций в </w:t>
            </w:r>
            <w:r w:rsidR="00EE1C13" w:rsidRPr="00EE1C13">
              <w:rPr>
                <w:b/>
                <w:bCs/>
                <w:sz w:val="20"/>
                <w:szCs w:val="20"/>
                <w:lang w:val="ru-RU"/>
              </w:rPr>
              <w:t>год</w:t>
            </w:r>
            <w:r w:rsidR="00AA7C9C" w:rsidRPr="00EE1C13">
              <w:rPr>
                <w:b/>
                <w:bCs/>
                <w:sz w:val="20"/>
                <w:szCs w:val="20"/>
                <w:lang w:val="ru-RU"/>
              </w:rPr>
              <w:t>.</w:t>
            </w:r>
            <w:r w:rsidR="00AA7C9C" w:rsidRPr="00EE1C13">
              <w:rPr>
                <w:sz w:val="20"/>
                <w:szCs w:val="20"/>
                <w:lang w:val="ru-RU"/>
              </w:rPr>
              <w:t xml:space="preserve"> </w:t>
            </w:r>
          </w:p>
          <w:p w14:paraId="41E9193A" w14:textId="77777777" w:rsidR="00AA7C9C" w:rsidRPr="00EE1C13" w:rsidRDefault="00AA7C9C" w:rsidP="00AA7C9C">
            <w:pPr>
              <w:pStyle w:val="ad"/>
              <w:rPr>
                <w:bCs/>
                <w:sz w:val="20"/>
                <w:szCs w:val="20"/>
                <w:lang w:val="ru-RU"/>
              </w:rPr>
            </w:pPr>
          </w:p>
          <w:p w14:paraId="2C5C1A3F" w14:textId="76DF3896" w:rsidR="00AA7C9C" w:rsidRPr="00EE1C13" w:rsidRDefault="00AA7C9C" w:rsidP="00EE1C13">
            <w:pPr>
              <w:pStyle w:val="ad"/>
              <w:numPr>
                <w:ilvl w:val="0"/>
                <w:numId w:val="30"/>
              </w:numPr>
              <w:spacing w:line="240" w:lineRule="auto"/>
              <w:jc w:val="both"/>
              <w:rPr>
                <w:bCs/>
                <w:sz w:val="20"/>
                <w:szCs w:val="20"/>
                <w:lang w:val="ru-RU"/>
              </w:rPr>
            </w:pPr>
            <w:r w:rsidRPr="00EE1C13">
              <w:rPr>
                <w:bCs/>
                <w:sz w:val="20"/>
                <w:szCs w:val="20"/>
                <w:lang w:val="ru-RU"/>
              </w:rPr>
              <w:t xml:space="preserve">Реализация плана по интеграции ключевых спикеров в профильные подкасты, в том числе </w:t>
            </w:r>
            <w:r w:rsidR="00516B29" w:rsidRPr="00EE1C13">
              <w:rPr>
                <w:bCs/>
                <w:sz w:val="20"/>
                <w:szCs w:val="20"/>
                <w:lang w:val="ru-RU"/>
              </w:rPr>
              <w:t>написание</w:t>
            </w:r>
            <w:r w:rsidRPr="00EE1C13">
              <w:rPr>
                <w:bCs/>
                <w:sz w:val="20"/>
                <w:szCs w:val="20"/>
                <w:lang w:val="ru-RU"/>
              </w:rPr>
              <w:t xml:space="preserve"> тезисов </w:t>
            </w:r>
            <w:r w:rsidR="00516B29" w:rsidRPr="00EE1C13">
              <w:rPr>
                <w:bCs/>
                <w:sz w:val="20"/>
                <w:szCs w:val="20"/>
                <w:lang w:val="ru-RU"/>
              </w:rPr>
              <w:t xml:space="preserve">для подготовки спикера к подкасту, создание визуальных и аудиальных материалов – при необходимости, а также </w:t>
            </w:r>
            <w:r w:rsidR="00516B29" w:rsidRPr="00EE1C13">
              <w:rPr>
                <w:sz w:val="20"/>
                <w:szCs w:val="20"/>
                <w:lang w:val="ru-RU"/>
              </w:rPr>
              <w:t xml:space="preserve">проведение оплаты третьим лицам в рамках выполнения задачи. </w:t>
            </w:r>
            <w:r w:rsidR="00516B29" w:rsidRPr="00EE1C13">
              <w:rPr>
                <w:b/>
                <w:bCs/>
                <w:sz w:val="20"/>
                <w:szCs w:val="20"/>
                <w:lang w:val="ru-RU"/>
              </w:rPr>
              <w:t xml:space="preserve">Не менее </w:t>
            </w:r>
            <w:r w:rsidR="00EE1C13" w:rsidRPr="00EE1C13">
              <w:rPr>
                <w:b/>
                <w:bCs/>
                <w:sz w:val="20"/>
                <w:szCs w:val="20"/>
                <w:lang w:val="ru-RU"/>
              </w:rPr>
              <w:t>12</w:t>
            </w:r>
            <w:r w:rsidR="00516B29" w:rsidRPr="00EE1C13">
              <w:rPr>
                <w:b/>
                <w:bCs/>
                <w:sz w:val="20"/>
                <w:szCs w:val="20"/>
                <w:lang w:val="ru-RU"/>
              </w:rPr>
              <w:t xml:space="preserve"> интеграций в </w:t>
            </w:r>
            <w:r w:rsidR="00EE1C13" w:rsidRPr="00EE1C13">
              <w:rPr>
                <w:b/>
                <w:bCs/>
                <w:sz w:val="20"/>
                <w:szCs w:val="20"/>
                <w:lang w:val="ru-RU"/>
              </w:rPr>
              <w:t>год</w:t>
            </w:r>
            <w:r w:rsidR="00516B29" w:rsidRPr="00EE1C13">
              <w:rPr>
                <w:b/>
                <w:bCs/>
                <w:sz w:val="20"/>
                <w:szCs w:val="20"/>
                <w:lang w:val="ru-RU"/>
              </w:rPr>
              <w:t>.</w:t>
            </w:r>
            <w:r w:rsidR="00516B29" w:rsidRPr="00EE1C13">
              <w:rPr>
                <w:sz w:val="20"/>
                <w:szCs w:val="20"/>
                <w:lang w:val="ru-RU"/>
              </w:rPr>
              <w:t xml:space="preserve"> </w:t>
            </w:r>
          </w:p>
          <w:p w14:paraId="58C96826" w14:textId="77777777" w:rsidR="00BE6FFE" w:rsidRPr="00BE6FFE" w:rsidRDefault="00BE6FFE" w:rsidP="00BE6FFE">
            <w:pPr>
              <w:spacing w:line="240" w:lineRule="auto"/>
              <w:jc w:val="both"/>
              <w:rPr>
                <w:b/>
                <w:sz w:val="20"/>
                <w:szCs w:val="20"/>
              </w:rPr>
            </w:pPr>
          </w:p>
          <w:p w14:paraId="7A85D64B" w14:textId="08A70C24" w:rsidR="00406E25" w:rsidRPr="00406E25" w:rsidRDefault="00406E25" w:rsidP="00EE1C13">
            <w:pPr>
              <w:pStyle w:val="ad"/>
              <w:numPr>
                <w:ilvl w:val="0"/>
                <w:numId w:val="30"/>
              </w:numPr>
              <w:spacing w:line="240" w:lineRule="auto"/>
              <w:jc w:val="both"/>
              <w:rPr>
                <w:sz w:val="20"/>
                <w:szCs w:val="20"/>
              </w:rPr>
            </w:pPr>
            <w:r w:rsidRPr="00406E25">
              <w:rPr>
                <w:sz w:val="20"/>
                <w:szCs w:val="20"/>
                <w:lang w:val="ru-RU"/>
              </w:rPr>
              <w:t>Анализ</w:t>
            </w:r>
            <w:r w:rsidRPr="00406E25">
              <w:rPr>
                <w:sz w:val="20"/>
                <w:szCs w:val="20"/>
              </w:rPr>
              <w:t xml:space="preserve"> конкурентной среды и </w:t>
            </w:r>
            <w:r w:rsidRPr="00406E25">
              <w:rPr>
                <w:sz w:val="20"/>
                <w:szCs w:val="20"/>
                <w:lang w:val="ru-RU"/>
              </w:rPr>
              <w:t xml:space="preserve">информационного </w:t>
            </w:r>
            <w:r w:rsidRPr="00406E25">
              <w:rPr>
                <w:sz w:val="20"/>
                <w:szCs w:val="20"/>
              </w:rPr>
              <w:t>поля на предмет реализации другими компаниями (в т</w:t>
            </w:r>
            <w:r w:rsidRPr="00406E25">
              <w:rPr>
                <w:sz w:val="20"/>
                <w:szCs w:val="20"/>
                <w:lang w:val="ru-RU"/>
              </w:rPr>
              <w:t>ом числе</w:t>
            </w:r>
            <w:r w:rsidRPr="00406E25">
              <w:rPr>
                <w:sz w:val="20"/>
                <w:szCs w:val="20"/>
              </w:rPr>
              <w:t xml:space="preserve"> конкурентами) аналогичных активностей в новых медиа, изучение аудитории в контексте обратной связи и цитируемости, выработка рекомендаций для коммуникационной стратегии Заказчика с учетом проведенного анализа, целей и задач Заказчика и инсайтов аудитории</w:t>
            </w:r>
            <w:r w:rsidRPr="00406E25">
              <w:rPr>
                <w:sz w:val="20"/>
                <w:szCs w:val="20"/>
                <w:lang w:val="ru-RU"/>
              </w:rPr>
              <w:t>; актуализация анализа в связи с изменениями бизнеса Заказчика и в связи с внешними событиями</w:t>
            </w:r>
            <w:r w:rsidR="00BE6FFE">
              <w:rPr>
                <w:sz w:val="20"/>
                <w:szCs w:val="20"/>
                <w:lang w:val="ru-RU"/>
              </w:rPr>
              <w:t xml:space="preserve"> – </w:t>
            </w:r>
            <w:r w:rsidRPr="00406E25">
              <w:rPr>
                <w:b/>
                <w:bCs/>
                <w:sz w:val="20"/>
                <w:szCs w:val="20"/>
                <w:lang w:val="ru-RU"/>
              </w:rPr>
              <w:t>не более 4 раз в год;</w:t>
            </w:r>
          </w:p>
          <w:p w14:paraId="1C8815FF" w14:textId="4AD233F8" w:rsidR="00406E25" w:rsidRDefault="00406E25" w:rsidP="00406E25">
            <w:pPr>
              <w:spacing w:line="240" w:lineRule="auto"/>
              <w:ind w:left="360"/>
              <w:jc w:val="both"/>
              <w:rPr>
                <w:sz w:val="20"/>
                <w:szCs w:val="20"/>
                <w:lang w:val="ru-RU"/>
              </w:rPr>
            </w:pPr>
          </w:p>
          <w:p w14:paraId="424EFE18" w14:textId="2B36B399" w:rsidR="000F1A57" w:rsidRDefault="000F1A57" w:rsidP="00EE1C13">
            <w:pPr>
              <w:pStyle w:val="ad"/>
              <w:numPr>
                <w:ilvl w:val="0"/>
                <w:numId w:val="30"/>
              </w:numPr>
              <w:spacing w:line="240" w:lineRule="auto"/>
              <w:jc w:val="both"/>
              <w:rPr>
                <w:sz w:val="20"/>
                <w:szCs w:val="20"/>
                <w:lang w:val="ru-RU"/>
              </w:rPr>
            </w:pPr>
            <w:r w:rsidRPr="00BE6FFE">
              <w:rPr>
                <w:sz w:val="20"/>
                <w:szCs w:val="20"/>
                <w:lang w:val="ru-RU"/>
              </w:rPr>
              <w:lastRenderedPageBreak/>
              <w:t xml:space="preserve">Сбор </w:t>
            </w:r>
            <w:r w:rsidRPr="00BE6FFE">
              <w:rPr>
                <w:sz w:val="20"/>
                <w:szCs w:val="20"/>
              </w:rPr>
              <w:t>подробной статистики по всем каналам</w:t>
            </w:r>
            <w:r w:rsidRPr="00BE6FFE">
              <w:rPr>
                <w:sz w:val="20"/>
                <w:szCs w:val="20"/>
                <w:lang w:val="ru-RU"/>
              </w:rPr>
              <w:t xml:space="preserve"> и предоставление отчетов</w:t>
            </w:r>
            <w:r w:rsidRPr="00BE6FFE">
              <w:rPr>
                <w:sz w:val="20"/>
                <w:szCs w:val="20"/>
              </w:rPr>
              <w:t xml:space="preserve"> (</w:t>
            </w:r>
            <w:r w:rsidRPr="00BE6FFE">
              <w:rPr>
                <w:sz w:val="20"/>
                <w:szCs w:val="20"/>
                <w:lang w:val="ru-RU"/>
              </w:rPr>
              <w:t xml:space="preserve">МИ, </w:t>
            </w:r>
            <w:r w:rsidRPr="00BE6FFE">
              <w:rPr>
                <w:sz w:val="20"/>
                <w:szCs w:val="20"/>
              </w:rPr>
              <w:t>охваты, показы, клики, регистрации и другие показатели, скриншоты всех размещений)</w:t>
            </w:r>
            <w:r w:rsidRPr="00BE6FFE">
              <w:rPr>
                <w:sz w:val="20"/>
                <w:szCs w:val="20"/>
                <w:lang w:val="ru-RU"/>
              </w:rPr>
              <w:t>.</w:t>
            </w:r>
            <w:r w:rsidR="00BE6FFE">
              <w:rPr>
                <w:sz w:val="20"/>
                <w:szCs w:val="20"/>
                <w:lang w:val="ru-RU"/>
              </w:rPr>
              <w:t xml:space="preserve"> </w:t>
            </w:r>
            <w:r w:rsidR="00BE6FFE" w:rsidRPr="00BE6FFE">
              <w:rPr>
                <w:b/>
                <w:bCs/>
                <w:sz w:val="20"/>
                <w:szCs w:val="20"/>
                <w:lang w:val="ru-RU"/>
              </w:rPr>
              <w:t>Подготовка отчетности проводится по итогам каждой запущенной кампании.</w:t>
            </w:r>
            <w:r w:rsidR="00BE6FFE">
              <w:rPr>
                <w:sz w:val="20"/>
                <w:szCs w:val="20"/>
                <w:lang w:val="ru-RU"/>
              </w:rPr>
              <w:t xml:space="preserve"> </w:t>
            </w:r>
          </w:p>
          <w:p w14:paraId="67A34A69" w14:textId="77777777" w:rsidR="00BE6FFE" w:rsidRPr="00BE6FFE" w:rsidRDefault="00BE6FFE" w:rsidP="00BE6FFE">
            <w:pPr>
              <w:pStyle w:val="ad"/>
              <w:rPr>
                <w:sz w:val="20"/>
                <w:szCs w:val="20"/>
                <w:lang w:val="ru-RU"/>
              </w:rPr>
            </w:pPr>
          </w:p>
          <w:p w14:paraId="20BF5818" w14:textId="1576BB0B" w:rsidR="00BE6FFE" w:rsidRPr="00460F0F" w:rsidRDefault="00460F0F" w:rsidP="00EE1C13">
            <w:pPr>
              <w:pStyle w:val="ad"/>
              <w:numPr>
                <w:ilvl w:val="0"/>
                <w:numId w:val="30"/>
              </w:numPr>
              <w:spacing w:line="240" w:lineRule="auto"/>
              <w:jc w:val="both"/>
              <w:rPr>
                <w:sz w:val="20"/>
                <w:szCs w:val="20"/>
              </w:rPr>
            </w:pPr>
            <w:r>
              <w:rPr>
                <w:sz w:val="20"/>
                <w:szCs w:val="20"/>
                <w:lang w:val="ru-RU"/>
              </w:rPr>
              <w:t xml:space="preserve">Подготовка </w:t>
            </w:r>
            <w:r w:rsidRPr="00460F0F">
              <w:rPr>
                <w:sz w:val="20"/>
                <w:szCs w:val="20"/>
                <w:lang w:val="ru-RU"/>
              </w:rPr>
              <w:t>ежегодного</w:t>
            </w:r>
            <w:r w:rsidR="00BE6FFE" w:rsidRPr="00460F0F">
              <w:rPr>
                <w:sz w:val="20"/>
                <w:szCs w:val="20"/>
              </w:rPr>
              <w:t xml:space="preserve"> отчет</w:t>
            </w:r>
            <w:r w:rsidRPr="00460F0F">
              <w:rPr>
                <w:sz w:val="20"/>
                <w:szCs w:val="20"/>
                <w:lang w:val="ru-RU"/>
              </w:rPr>
              <w:t>а</w:t>
            </w:r>
            <w:r>
              <w:rPr>
                <w:sz w:val="20"/>
                <w:szCs w:val="20"/>
                <w:lang w:val="ru-RU"/>
              </w:rPr>
              <w:t xml:space="preserve"> </w:t>
            </w:r>
            <w:r w:rsidRPr="00460F0F">
              <w:rPr>
                <w:b/>
                <w:bCs/>
                <w:sz w:val="20"/>
                <w:szCs w:val="20"/>
                <w:lang w:val="ru-RU"/>
              </w:rPr>
              <w:t>(1 раз в год)</w:t>
            </w:r>
            <w:r w:rsidR="00BE6FFE" w:rsidRPr="00460F0F">
              <w:rPr>
                <w:b/>
                <w:bCs/>
                <w:sz w:val="20"/>
                <w:szCs w:val="20"/>
                <w:lang w:val="ru-RU"/>
              </w:rPr>
              <w:t xml:space="preserve"> </w:t>
            </w:r>
            <w:r>
              <w:rPr>
                <w:sz w:val="20"/>
                <w:szCs w:val="20"/>
                <w:lang w:val="ru-RU"/>
              </w:rPr>
              <w:t>по</w:t>
            </w:r>
            <w:r w:rsidR="00BE6FFE" w:rsidRPr="00460F0F">
              <w:rPr>
                <w:sz w:val="20"/>
                <w:szCs w:val="20"/>
              </w:rPr>
              <w:t xml:space="preserve"> итогах реализации проекта с описанием проделанных работ, итогов и достигнутых KPI. Отчет формируется в формате презентации p</w:t>
            </w:r>
            <w:r>
              <w:rPr>
                <w:sz w:val="20"/>
                <w:szCs w:val="20"/>
                <w:lang w:val="en-US"/>
              </w:rPr>
              <w:t>df</w:t>
            </w:r>
            <w:r w:rsidR="00BE6FFE" w:rsidRPr="00460F0F">
              <w:rPr>
                <w:sz w:val="20"/>
                <w:szCs w:val="20"/>
              </w:rPr>
              <w:t xml:space="preserve"> в корпоративном шаблоне Заказчика и предварительно согласуется </w:t>
            </w:r>
            <w:r>
              <w:rPr>
                <w:sz w:val="20"/>
                <w:szCs w:val="20"/>
                <w:lang w:val="ru-RU"/>
              </w:rPr>
              <w:t>в</w:t>
            </w:r>
            <w:r w:rsidR="00BE6FFE" w:rsidRPr="00460F0F">
              <w:rPr>
                <w:sz w:val="20"/>
                <w:szCs w:val="20"/>
              </w:rPr>
              <w:t xml:space="preserve"> электронной почте.</w:t>
            </w:r>
          </w:p>
          <w:p w14:paraId="6B76A42D" w14:textId="77777777" w:rsidR="000F1A57" w:rsidRDefault="000F1A57" w:rsidP="000F1A57">
            <w:pPr>
              <w:pStyle w:val="ad"/>
              <w:spacing w:line="240" w:lineRule="auto"/>
              <w:jc w:val="both"/>
              <w:rPr>
                <w:sz w:val="20"/>
                <w:szCs w:val="20"/>
                <w:lang w:val="ru-RU"/>
              </w:rPr>
            </w:pPr>
          </w:p>
          <w:p w14:paraId="46A55BEC" w14:textId="44899156" w:rsidR="007E1F94" w:rsidRDefault="00BE6FFE" w:rsidP="007E1F94">
            <w:pPr>
              <w:pStyle w:val="ad"/>
              <w:spacing w:line="240" w:lineRule="auto"/>
              <w:jc w:val="both"/>
              <w:rPr>
                <w:b/>
                <w:sz w:val="20"/>
                <w:szCs w:val="20"/>
              </w:rPr>
            </w:pPr>
            <w:r w:rsidRPr="00C718DF">
              <w:rPr>
                <w:b/>
                <w:sz w:val="20"/>
                <w:szCs w:val="20"/>
              </w:rPr>
              <w:t>Разовые услуги, которые не входят в абонентское обслуживание, включающие предварительную или аналитическую работу агентства под задачи Заказчика.</w:t>
            </w:r>
            <w:r w:rsidRPr="00C718DF">
              <w:rPr>
                <w:b/>
                <w:sz w:val="20"/>
                <w:szCs w:val="20"/>
                <w:lang w:val="ru-RU"/>
              </w:rPr>
              <w:t xml:space="preserve"> </w:t>
            </w:r>
            <w:r w:rsidRPr="00C718DF">
              <w:rPr>
                <w:b/>
                <w:sz w:val="20"/>
                <w:szCs w:val="20"/>
              </w:rPr>
              <w:t xml:space="preserve">Услуги оцениваются дополнительно, исходя из прайса в приложении: </w:t>
            </w:r>
          </w:p>
          <w:p w14:paraId="53FD7F82" w14:textId="77777777" w:rsidR="007E1F94" w:rsidRDefault="007E1F94" w:rsidP="007E1F94">
            <w:pPr>
              <w:pStyle w:val="ad"/>
              <w:spacing w:line="240" w:lineRule="auto"/>
              <w:jc w:val="both"/>
              <w:rPr>
                <w:b/>
                <w:sz w:val="20"/>
                <w:szCs w:val="20"/>
              </w:rPr>
            </w:pPr>
          </w:p>
          <w:p w14:paraId="173885FF" w14:textId="5C7ED024" w:rsidR="00E301B0" w:rsidRPr="00295F9F" w:rsidRDefault="00E301B0" w:rsidP="00295F9F">
            <w:pPr>
              <w:pStyle w:val="ad"/>
              <w:numPr>
                <w:ilvl w:val="0"/>
                <w:numId w:val="28"/>
              </w:numPr>
              <w:spacing w:line="240" w:lineRule="auto"/>
              <w:jc w:val="both"/>
              <w:rPr>
                <w:bCs/>
                <w:sz w:val="20"/>
                <w:szCs w:val="20"/>
                <w:lang w:val="ru-RU"/>
              </w:rPr>
            </w:pPr>
            <w:r w:rsidRPr="00295F9F">
              <w:rPr>
                <w:bCs/>
                <w:sz w:val="20"/>
                <w:szCs w:val="20"/>
                <w:lang w:val="ru-RU"/>
              </w:rPr>
              <w:t xml:space="preserve">Проведение незапланированных коммуникационных кампаний в </w:t>
            </w:r>
            <w:r w:rsidR="00012FE0" w:rsidRPr="00295F9F">
              <w:rPr>
                <w:bCs/>
                <w:sz w:val="20"/>
                <w:szCs w:val="20"/>
                <w:lang w:val="ru-RU"/>
              </w:rPr>
              <w:t>формате 360</w:t>
            </w:r>
            <w:r w:rsidRPr="00295F9F">
              <w:rPr>
                <w:bCs/>
                <w:sz w:val="20"/>
                <w:szCs w:val="20"/>
                <w:lang w:val="ru-RU"/>
              </w:rPr>
              <w:t xml:space="preserve"> в ходе реализации антикризисных коммуникаций</w:t>
            </w:r>
            <w:r w:rsidR="00013B95" w:rsidRPr="00295F9F">
              <w:rPr>
                <w:bCs/>
                <w:sz w:val="20"/>
                <w:szCs w:val="20"/>
                <w:lang w:val="ru-RU"/>
              </w:rPr>
              <w:t>, кампаний, приуроченных к мероприятиям/запускам/отдельным инфоповодам</w:t>
            </w:r>
            <w:r w:rsidRPr="00295F9F">
              <w:rPr>
                <w:bCs/>
                <w:sz w:val="20"/>
                <w:szCs w:val="20"/>
                <w:lang w:val="ru-RU"/>
              </w:rPr>
              <w:t xml:space="preserve">. </w:t>
            </w:r>
          </w:p>
          <w:p w14:paraId="2CF2243B" w14:textId="3CC98FCD" w:rsidR="00320F64" w:rsidRPr="00295F9F" w:rsidRDefault="00320F64" w:rsidP="00295F9F">
            <w:pPr>
              <w:pStyle w:val="ad"/>
              <w:numPr>
                <w:ilvl w:val="0"/>
                <w:numId w:val="28"/>
              </w:numPr>
              <w:spacing w:line="240" w:lineRule="auto"/>
              <w:jc w:val="both"/>
              <w:rPr>
                <w:bCs/>
                <w:sz w:val="20"/>
                <w:szCs w:val="20"/>
                <w:lang w:val="ru-RU"/>
              </w:rPr>
            </w:pPr>
            <w:r>
              <w:rPr>
                <w:sz w:val="20"/>
                <w:szCs w:val="20"/>
                <w:lang w:val="ru-RU"/>
              </w:rPr>
              <w:t>Взаимодействие с</w:t>
            </w:r>
            <w:r w:rsidRPr="00CF5E87">
              <w:rPr>
                <w:sz w:val="20"/>
                <w:szCs w:val="20"/>
                <w:lang w:val="ru-RU"/>
              </w:rPr>
              <w:t xml:space="preserve"> </w:t>
            </w:r>
            <w:r>
              <w:rPr>
                <w:sz w:val="20"/>
                <w:szCs w:val="20"/>
                <w:lang w:val="en-US"/>
              </w:rPr>
              <w:t>Telegram</w:t>
            </w:r>
            <w:r>
              <w:rPr>
                <w:sz w:val="20"/>
                <w:szCs w:val="20"/>
                <w:lang w:val="ru-RU"/>
              </w:rPr>
              <w:t xml:space="preserve">-каналами, в том числе составление списка релевантных под инфоповод каналов, коммуникация с администраторами, подготовка текстового и </w:t>
            </w:r>
            <w:r w:rsidRPr="00295F9F">
              <w:rPr>
                <w:bCs/>
                <w:sz w:val="20"/>
                <w:szCs w:val="20"/>
                <w:lang w:val="ru-RU"/>
              </w:rPr>
              <w:t>визуального контента, сопровождение публикации</w:t>
            </w:r>
            <w:r w:rsidR="001F3543">
              <w:rPr>
                <w:bCs/>
                <w:sz w:val="20"/>
                <w:szCs w:val="20"/>
                <w:lang w:val="ru-RU"/>
              </w:rPr>
              <w:t>, оплата размещений</w:t>
            </w:r>
            <w:r w:rsidRPr="00295F9F">
              <w:rPr>
                <w:bCs/>
                <w:sz w:val="20"/>
                <w:szCs w:val="20"/>
                <w:lang w:val="ru-RU"/>
              </w:rPr>
              <w:t>.</w:t>
            </w:r>
          </w:p>
          <w:p w14:paraId="5E2254A0" w14:textId="41C5E13A" w:rsidR="00295F9F" w:rsidRPr="00295F9F" w:rsidRDefault="00295F9F" w:rsidP="00295F9F">
            <w:pPr>
              <w:pStyle w:val="ad"/>
              <w:numPr>
                <w:ilvl w:val="0"/>
                <w:numId w:val="28"/>
              </w:numPr>
              <w:spacing w:line="240" w:lineRule="auto"/>
              <w:jc w:val="both"/>
              <w:rPr>
                <w:bCs/>
                <w:sz w:val="20"/>
                <w:szCs w:val="20"/>
                <w:lang w:val="ru-RU"/>
              </w:rPr>
            </w:pPr>
            <w:r w:rsidRPr="00295F9F">
              <w:rPr>
                <w:bCs/>
                <w:sz w:val="20"/>
                <w:szCs w:val="20"/>
                <w:lang w:val="ru-RU"/>
              </w:rPr>
              <w:t>Проведение оплаты третьим лицам (целевым СМИ, организаторам мероприятий и т.д.) с целью реализации проектов в рамках данного RFP.</w:t>
            </w:r>
          </w:p>
          <w:p w14:paraId="52D16574" w14:textId="77777777" w:rsidR="00E301B0" w:rsidRPr="00E301B0" w:rsidRDefault="00E301B0" w:rsidP="00295F9F">
            <w:pPr>
              <w:pStyle w:val="ad"/>
              <w:numPr>
                <w:ilvl w:val="0"/>
                <w:numId w:val="28"/>
              </w:numPr>
              <w:spacing w:line="240" w:lineRule="auto"/>
              <w:jc w:val="both"/>
              <w:rPr>
                <w:bCs/>
                <w:sz w:val="20"/>
                <w:szCs w:val="20"/>
                <w:lang w:val="ru-RU"/>
              </w:rPr>
            </w:pPr>
            <w:r w:rsidRPr="00E301B0">
              <w:rPr>
                <w:bCs/>
                <w:sz w:val="20"/>
                <w:szCs w:val="20"/>
                <w:lang w:val="ru-RU"/>
              </w:rPr>
              <w:t>Привлечение сторонних экспертов (спикеров, модераторов, партнеров) с целью реализации проектов в рамках данного RFP.</w:t>
            </w:r>
          </w:p>
          <w:p w14:paraId="0F885C96" w14:textId="77777777" w:rsidR="00E301B0" w:rsidRPr="00E301B0" w:rsidRDefault="00E301B0" w:rsidP="00295F9F">
            <w:pPr>
              <w:pStyle w:val="ad"/>
              <w:numPr>
                <w:ilvl w:val="0"/>
                <w:numId w:val="28"/>
              </w:numPr>
              <w:spacing w:line="240" w:lineRule="auto"/>
              <w:jc w:val="both"/>
              <w:rPr>
                <w:bCs/>
                <w:sz w:val="20"/>
                <w:szCs w:val="20"/>
                <w:lang w:val="ru-RU"/>
              </w:rPr>
            </w:pPr>
            <w:r w:rsidRPr="00E301B0">
              <w:rPr>
                <w:bCs/>
                <w:sz w:val="20"/>
                <w:szCs w:val="20"/>
                <w:lang w:val="ru-RU"/>
              </w:rPr>
              <w:t>Организация фото- и/или видеосъемки пресс-мероприятий Заказчика, предоставление тизеров с оперативно обработанными фото/видеоматериалами в день съемки и полный фотоотчет в течение одного рабочего дня.</w:t>
            </w:r>
          </w:p>
          <w:p w14:paraId="7D54B098" w14:textId="77777777" w:rsidR="00E301B0" w:rsidRPr="00E301B0" w:rsidRDefault="00E301B0" w:rsidP="00295F9F">
            <w:pPr>
              <w:pStyle w:val="ad"/>
              <w:numPr>
                <w:ilvl w:val="0"/>
                <w:numId w:val="28"/>
              </w:numPr>
              <w:spacing w:line="240" w:lineRule="auto"/>
              <w:jc w:val="both"/>
              <w:rPr>
                <w:bCs/>
                <w:sz w:val="20"/>
                <w:szCs w:val="20"/>
                <w:lang w:val="ru-RU"/>
              </w:rPr>
            </w:pPr>
            <w:r w:rsidRPr="00E301B0">
              <w:rPr>
                <w:bCs/>
                <w:sz w:val="20"/>
                <w:szCs w:val="20"/>
                <w:lang w:val="ru-RU"/>
              </w:rPr>
              <w:t xml:space="preserve">Расшифровка аудио- и </w:t>
            </w:r>
            <w:proofErr w:type="spellStart"/>
            <w:r w:rsidRPr="00E301B0">
              <w:rPr>
                <w:bCs/>
                <w:sz w:val="20"/>
                <w:szCs w:val="20"/>
                <w:lang w:val="ru-RU"/>
              </w:rPr>
              <w:t>видеозаписеи</w:t>
            </w:r>
            <w:proofErr w:type="spellEnd"/>
            <w:r w:rsidRPr="00E301B0">
              <w:rPr>
                <w:bCs/>
                <w:sz w:val="20"/>
                <w:szCs w:val="20"/>
                <w:lang w:val="ru-RU"/>
              </w:rPr>
              <w:t xml:space="preserve">̆ по запросу Заказчика. </w:t>
            </w:r>
          </w:p>
          <w:p w14:paraId="40477A7F" w14:textId="67F5F6A7" w:rsidR="00C718DF" w:rsidRPr="00DD5E13" w:rsidRDefault="00E301B0" w:rsidP="00295F9F">
            <w:pPr>
              <w:pStyle w:val="ad"/>
              <w:numPr>
                <w:ilvl w:val="0"/>
                <w:numId w:val="28"/>
              </w:numPr>
              <w:spacing w:line="240" w:lineRule="auto"/>
              <w:jc w:val="both"/>
              <w:rPr>
                <w:bCs/>
                <w:sz w:val="20"/>
                <w:szCs w:val="20"/>
                <w:lang w:val="ru-RU"/>
              </w:rPr>
            </w:pPr>
            <w:r w:rsidRPr="00E301B0">
              <w:rPr>
                <w:bCs/>
                <w:sz w:val="20"/>
                <w:szCs w:val="20"/>
                <w:lang w:val="ru-RU"/>
              </w:rPr>
              <w:t xml:space="preserve">Перевод текстов на </w:t>
            </w:r>
            <w:proofErr w:type="spellStart"/>
            <w:r w:rsidRPr="00E301B0">
              <w:rPr>
                <w:bCs/>
                <w:sz w:val="20"/>
                <w:szCs w:val="20"/>
                <w:lang w:val="ru-RU"/>
              </w:rPr>
              <w:t>английскии</w:t>
            </w:r>
            <w:proofErr w:type="spellEnd"/>
            <w:r w:rsidRPr="00E301B0">
              <w:rPr>
                <w:bCs/>
                <w:sz w:val="20"/>
                <w:szCs w:val="20"/>
                <w:lang w:val="ru-RU"/>
              </w:rPr>
              <w:t xml:space="preserve">̆ язык. Осуществляется по запросам Заказчика, отправленным на адрес </w:t>
            </w:r>
            <w:proofErr w:type="spellStart"/>
            <w:r w:rsidRPr="00E301B0">
              <w:rPr>
                <w:bCs/>
                <w:sz w:val="20"/>
                <w:szCs w:val="20"/>
                <w:lang w:val="ru-RU"/>
              </w:rPr>
              <w:t>электроннои</w:t>
            </w:r>
            <w:proofErr w:type="spellEnd"/>
            <w:r w:rsidRPr="00E301B0">
              <w:rPr>
                <w:bCs/>
                <w:sz w:val="20"/>
                <w:szCs w:val="20"/>
                <w:lang w:val="ru-RU"/>
              </w:rPr>
              <w:t>̆ почты Исполнителя.</w:t>
            </w:r>
          </w:p>
          <w:p w14:paraId="0CD228B6" w14:textId="77777777" w:rsidR="00C718DF" w:rsidRDefault="00C718DF" w:rsidP="009508FA">
            <w:pPr>
              <w:spacing w:line="240" w:lineRule="auto"/>
              <w:jc w:val="both"/>
              <w:rPr>
                <w:bCs/>
                <w:sz w:val="20"/>
                <w:szCs w:val="20"/>
                <w:lang w:val="ru-RU"/>
              </w:rPr>
            </w:pPr>
          </w:p>
          <w:p w14:paraId="2253C425" w14:textId="26533DB6" w:rsidR="007610DF" w:rsidRDefault="007610DF" w:rsidP="00295F9F">
            <w:pPr>
              <w:pStyle w:val="ad"/>
              <w:numPr>
                <w:ilvl w:val="0"/>
                <w:numId w:val="28"/>
              </w:numPr>
              <w:spacing w:line="240" w:lineRule="auto"/>
              <w:jc w:val="both"/>
              <w:rPr>
                <w:b/>
                <w:sz w:val="20"/>
                <w:szCs w:val="20"/>
                <w:lang w:val="ru-RU"/>
              </w:rPr>
            </w:pPr>
            <w:r>
              <w:rPr>
                <w:b/>
                <w:sz w:val="20"/>
                <w:szCs w:val="20"/>
                <w:lang w:val="ru-RU"/>
              </w:rPr>
              <w:t>П</w:t>
            </w:r>
            <w:r w:rsidR="00DD5E13">
              <w:rPr>
                <w:b/>
                <w:sz w:val="20"/>
                <w:szCs w:val="20"/>
                <w:lang w:val="ru-RU"/>
              </w:rPr>
              <w:t>РЕДЛОЖЕНИЕ ДОЛЖНО ВКЛЮЧАТЬ:</w:t>
            </w:r>
          </w:p>
          <w:p w14:paraId="3132085E" w14:textId="77777777" w:rsidR="007610DF" w:rsidRDefault="007610DF" w:rsidP="009508FA">
            <w:pPr>
              <w:pStyle w:val="ad"/>
              <w:spacing w:line="240" w:lineRule="auto"/>
              <w:jc w:val="both"/>
              <w:rPr>
                <w:b/>
                <w:sz w:val="20"/>
                <w:szCs w:val="20"/>
                <w:lang w:val="ru-RU"/>
              </w:rPr>
            </w:pPr>
          </w:p>
          <w:p w14:paraId="3536F94B" w14:textId="425C45F8" w:rsidR="007610DF" w:rsidRPr="00295F9F" w:rsidRDefault="007610DF" w:rsidP="00295F9F">
            <w:pPr>
              <w:pStyle w:val="ad"/>
              <w:numPr>
                <w:ilvl w:val="0"/>
                <w:numId w:val="29"/>
              </w:numPr>
              <w:spacing w:line="240" w:lineRule="auto"/>
              <w:jc w:val="both"/>
              <w:rPr>
                <w:sz w:val="20"/>
                <w:szCs w:val="20"/>
              </w:rPr>
            </w:pPr>
            <w:r w:rsidRPr="00295F9F">
              <w:rPr>
                <w:sz w:val="20"/>
                <w:szCs w:val="20"/>
              </w:rPr>
              <w:t>Подтверждение положений и условий RFP;</w:t>
            </w:r>
          </w:p>
          <w:p w14:paraId="64D2BE64" w14:textId="1DE6EB86" w:rsidR="007610DF" w:rsidRPr="00DD5E13" w:rsidRDefault="007610DF" w:rsidP="00295F9F">
            <w:pPr>
              <w:pStyle w:val="ad"/>
              <w:numPr>
                <w:ilvl w:val="0"/>
                <w:numId w:val="29"/>
              </w:numPr>
              <w:spacing w:line="240" w:lineRule="auto"/>
              <w:jc w:val="both"/>
              <w:rPr>
                <w:sz w:val="20"/>
                <w:szCs w:val="20"/>
              </w:rPr>
            </w:pPr>
            <w:r w:rsidRPr="00DD5E13">
              <w:rPr>
                <w:sz w:val="20"/>
                <w:szCs w:val="20"/>
              </w:rPr>
              <w:t>Указание возможности агентства выполнять весь потенциальный объем работ;</w:t>
            </w:r>
          </w:p>
          <w:p w14:paraId="37DC39B6" w14:textId="770D6942" w:rsidR="007610DF" w:rsidRPr="00DD5E13" w:rsidRDefault="007610DF" w:rsidP="00295F9F">
            <w:pPr>
              <w:pStyle w:val="ad"/>
              <w:numPr>
                <w:ilvl w:val="0"/>
                <w:numId w:val="29"/>
              </w:numPr>
              <w:spacing w:line="240" w:lineRule="auto"/>
              <w:jc w:val="both"/>
              <w:rPr>
                <w:sz w:val="20"/>
                <w:szCs w:val="20"/>
              </w:rPr>
            </w:pPr>
            <w:r w:rsidRPr="00DD5E13">
              <w:rPr>
                <w:sz w:val="20"/>
                <w:szCs w:val="20"/>
              </w:rPr>
              <w:t xml:space="preserve">Информация о компании с примерами работ по аналогичным задачам, а именно: проведение коммуникационных кампаний в новых медиа. Предоставляется в виде портфолио в формате </w:t>
            </w:r>
            <w:proofErr w:type="spellStart"/>
            <w:r w:rsidRPr="00DD5E13">
              <w:rPr>
                <w:sz w:val="20"/>
                <w:szCs w:val="20"/>
              </w:rPr>
              <w:t>ppt</w:t>
            </w:r>
            <w:proofErr w:type="spellEnd"/>
            <w:r w:rsidRPr="00DD5E13">
              <w:rPr>
                <w:sz w:val="20"/>
                <w:szCs w:val="20"/>
              </w:rPr>
              <w:t>/</w:t>
            </w:r>
            <w:proofErr w:type="spellStart"/>
            <w:r w:rsidRPr="00DD5E13">
              <w:rPr>
                <w:sz w:val="20"/>
                <w:szCs w:val="20"/>
              </w:rPr>
              <w:t>pdf</w:t>
            </w:r>
            <w:proofErr w:type="spellEnd"/>
            <w:r w:rsidRPr="00DD5E13">
              <w:rPr>
                <w:sz w:val="20"/>
                <w:szCs w:val="20"/>
              </w:rPr>
              <w:t xml:space="preserve"> c обязательным указанием года реализации проекта, наименования компании-заказчика, краткого описания задачи и финального результата с приложением ссылок, иллюстраций и др. материалов, визуализирующих результаты работ.</w:t>
            </w:r>
          </w:p>
          <w:p w14:paraId="609DC5E0" w14:textId="56395FCF" w:rsidR="007610DF" w:rsidRPr="00DD5E13" w:rsidRDefault="007610DF" w:rsidP="00295F9F">
            <w:pPr>
              <w:pStyle w:val="ad"/>
              <w:numPr>
                <w:ilvl w:val="0"/>
                <w:numId w:val="29"/>
              </w:numPr>
              <w:spacing w:line="240" w:lineRule="auto"/>
              <w:jc w:val="both"/>
              <w:rPr>
                <w:sz w:val="20"/>
                <w:szCs w:val="20"/>
              </w:rPr>
            </w:pPr>
            <w:r w:rsidRPr="00DD5E13">
              <w:rPr>
                <w:sz w:val="20"/>
                <w:szCs w:val="20"/>
              </w:rPr>
              <w:t>Описание проектной команды (с указанием ФИО, функционала в рамках указанных задач, опыта работы и портфолио реализованных кейсов заявленных участников команды).</w:t>
            </w:r>
          </w:p>
          <w:p w14:paraId="52D2E792" w14:textId="601BDC29" w:rsidR="007610DF" w:rsidRPr="00DD5E13" w:rsidRDefault="007610DF" w:rsidP="00295F9F">
            <w:pPr>
              <w:pStyle w:val="ad"/>
              <w:numPr>
                <w:ilvl w:val="0"/>
                <w:numId w:val="29"/>
              </w:numPr>
              <w:spacing w:line="240" w:lineRule="auto"/>
              <w:jc w:val="both"/>
              <w:rPr>
                <w:sz w:val="20"/>
                <w:szCs w:val="20"/>
              </w:rPr>
            </w:pPr>
            <w:r w:rsidRPr="00DD5E13">
              <w:rPr>
                <w:sz w:val="20"/>
                <w:szCs w:val="20"/>
              </w:rPr>
              <w:t>Предложение, описывающее подход к реализации коммуникационной стратегии для продвижения Холдинга Т1</w:t>
            </w:r>
            <w:r w:rsidRPr="00DD5E13">
              <w:rPr>
                <w:sz w:val="20"/>
                <w:szCs w:val="20"/>
                <w:lang w:val="ru-RU"/>
              </w:rPr>
              <w:t xml:space="preserve">, </w:t>
            </w:r>
            <w:r w:rsidRPr="00DD5E13">
              <w:rPr>
                <w:sz w:val="20"/>
                <w:szCs w:val="20"/>
              </w:rPr>
              <w:t xml:space="preserve">его отдельных </w:t>
            </w:r>
            <w:r w:rsidRPr="00DD5E13">
              <w:rPr>
                <w:sz w:val="20"/>
                <w:szCs w:val="20"/>
                <w:lang w:val="ru-RU"/>
              </w:rPr>
              <w:t>бизнес-направлений/</w:t>
            </w:r>
            <w:r w:rsidRPr="00DD5E13">
              <w:rPr>
                <w:sz w:val="20"/>
                <w:szCs w:val="20"/>
              </w:rPr>
              <w:t>продуктов/брендов</w:t>
            </w:r>
            <w:r w:rsidRPr="00DD5E13">
              <w:rPr>
                <w:sz w:val="20"/>
                <w:szCs w:val="20"/>
                <w:lang w:val="ru-RU"/>
              </w:rPr>
              <w:t xml:space="preserve"> </w:t>
            </w:r>
            <w:r w:rsidRPr="00DD5E13">
              <w:rPr>
                <w:sz w:val="20"/>
                <w:szCs w:val="20"/>
              </w:rPr>
              <w:t xml:space="preserve">в новых медиа. </w:t>
            </w:r>
          </w:p>
          <w:p w14:paraId="0015D51F" w14:textId="1E17B697" w:rsidR="007610DF" w:rsidRPr="00DD5E13" w:rsidRDefault="007610DF" w:rsidP="00295F9F">
            <w:pPr>
              <w:pStyle w:val="ad"/>
              <w:numPr>
                <w:ilvl w:val="0"/>
                <w:numId w:val="29"/>
              </w:numPr>
              <w:spacing w:line="240" w:lineRule="auto"/>
              <w:jc w:val="both"/>
              <w:rPr>
                <w:sz w:val="20"/>
                <w:szCs w:val="20"/>
              </w:rPr>
            </w:pPr>
            <w:r w:rsidRPr="00DD5E13">
              <w:rPr>
                <w:sz w:val="20"/>
                <w:szCs w:val="20"/>
              </w:rPr>
              <w:t>Варианты</w:t>
            </w:r>
            <w:r w:rsidRPr="00DD5E13">
              <w:rPr>
                <w:sz w:val="20"/>
                <w:szCs w:val="20"/>
                <w:lang w:val="ru-RU"/>
              </w:rPr>
              <w:t xml:space="preserve"> </w:t>
            </w:r>
            <w:r w:rsidRPr="00DD5E13">
              <w:rPr>
                <w:sz w:val="20"/>
                <w:szCs w:val="20"/>
              </w:rPr>
              <w:t>коммуникационных активностей в рамках поддержки одного из предложенных креативных форматов с описанием предлагаемых каналов, форматов и инструментов</w:t>
            </w:r>
            <w:r w:rsidRPr="00DD5E13">
              <w:rPr>
                <w:sz w:val="20"/>
                <w:szCs w:val="20"/>
                <w:lang w:val="ru-RU"/>
              </w:rPr>
              <w:t xml:space="preserve">. </w:t>
            </w:r>
          </w:p>
          <w:p w14:paraId="7BC1B5F9" w14:textId="2636D108" w:rsidR="007610DF" w:rsidRPr="00DD5E13" w:rsidRDefault="007610DF" w:rsidP="00295F9F">
            <w:pPr>
              <w:pStyle w:val="ad"/>
              <w:numPr>
                <w:ilvl w:val="0"/>
                <w:numId w:val="29"/>
              </w:numPr>
              <w:spacing w:line="240" w:lineRule="auto"/>
              <w:jc w:val="both"/>
              <w:rPr>
                <w:sz w:val="20"/>
                <w:szCs w:val="20"/>
              </w:rPr>
            </w:pPr>
            <w:r w:rsidRPr="00DD5E13">
              <w:rPr>
                <w:sz w:val="20"/>
                <w:szCs w:val="20"/>
              </w:rPr>
              <w:t xml:space="preserve">Целевые KPI для всей </w:t>
            </w:r>
            <w:r w:rsidR="00E301B0" w:rsidRPr="00DD5E13">
              <w:rPr>
                <w:sz w:val="20"/>
                <w:szCs w:val="20"/>
                <w:lang w:val="ru-RU"/>
              </w:rPr>
              <w:t>к</w:t>
            </w:r>
            <w:proofErr w:type="spellStart"/>
            <w:r w:rsidRPr="00DD5E13">
              <w:rPr>
                <w:sz w:val="20"/>
                <w:szCs w:val="20"/>
              </w:rPr>
              <w:t>ампании</w:t>
            </w:r>
            <w:proofErr w:type="spellEnd"/>
            <w:r w:rsidRPr="00DD5E13">
              <w:rPr>
                <w:sz w:val="20"/>
                <w:szCs w:val="20"/>
                <w:lang w:val="ru-RU"/>
              </w:rPr>
              <w:t xml:space="preserve">. </w:t>
            </w:r>
            <w:r w:rsidRPr="00DD5E13">
              <w:rPr>
                <w:sz w:val="20"/>
                <w:szCs w:val="20"/>
              </w:rPr>
              <w:t>Файл должен быть выполнен в формате презентации PowerPoint в корпоративном шаблоне Т1 (Приложение №1 к настоящему RFP).</w:t>
            </w:r>
          </w:p>
          <w:p w14:paraId="21A2D8F1" w14:textId="30C2ECF3" w:rsidR="007610DF" w:rsidRPr="00DD5E13" w:rsidRDefault="007610DF" w:rsidP="00295F9F">
            <w:pPr>
              <w:pStyle w:val="ad"/>
              <w:numPr>
                <w:ilvl w:val="0"/>
                <w:numId w:val="29"/>
              </w:numPr>
              <w:spacing w:line="240" w:lineRule="auto"/>
              <w:jc w:val="both"/>
              <w:rPr>
                <w:sz w:val="20"/>
                <w:szCs w:val="20"/>
              </w:rPr>
            </w:pPr>
            <w:r w:rsidRPr="00DD5E13">
              <w:rPr>
                <w:sz w:val="20"/>
                <w:szCs w:val="20"/>
              </w:rPr>
              <w:t xml:space="preserve">Предлагаемый бюджет проекта (в рублях) с детализацией по отдельным статьям расходов. </w:t>
            </w:r>
          </w:p>
          <w:p w14:paraId="18AE6458" w14:textId="77777777" w:rsidR="007610DF" w:rsidRDefault="007610DF" w:rsidP="009508FA">
            <w:pPr>
              <w:spacing w:line="240" w:lineRule="auto"/>
              <w:jc w:val="both"/>
              <w:rPr>
                <w:b/>
                <w:sz w:val="20"/>
                <w:szCs w:val="20"/>
                <w:lang w:val="ru-RU"/>
              </w:rPr>
            </w:pPr>
          </w:p>
          <w:p w14:paraId="754C4C59" w14:textId="386C2359" w:rsidR="00DD5E13" w:rsidRPr="00DD5E13" w:rsidRDefault="00DD5E13" w:rsidP="00295F9F">
            <w:pPr>
              <w:pStyle w:val="ad"/>
              <w:numPr>
                <w:ilvl w:val="0"/>
                <w:numId w:val="29"/>
              </w:numPr>
              <w:spacing w:line="240" w:lineRule="auto"/>
              <w:jc w:val="both"/>
              <w:rPr>
                <w:b/>
                <w:sz w:val="20"/>
                <w:szCs w:val="20"/>
                <w:lang w:val="ru-RU"/>
              </w:rPr>
            </w:pPr>
            <w:r>
              <w:rPr>
                <w:b/>
                <w:sz w:val="20"/>
                <w:szCs w:val="20"/>
                <w:lang w:val="ru-RU"/>
              </w:rPr>
              <w:t>БЮДЖЕТ ПРОЕКТА</w:t>
            </w:r>
            <w:r w:rsidRPr="00DD5E13">
              <w:rPr>
                <w:b/>
                <w:sz w:val="20"/>
                <w:szCs w:val="20"/>
                <w:lang w:val="ru-RU"/>
              </w:rPr>
              <w:t xml:space="preserve">: 20 </w:t>
            </w:r>
            <w:r>
              <w:rPr>
                <w:b/>
                <w:sz w:val="20"/>
                <w:szCs w:val="20"/>
                <w:lang w:val="ru-RU"/>
              </w:rPr>
              <w:t>МЛН РУБЛЕЙ</w:t>
            </w:r>
          </w:p>
          <w:p w14:paraId="6A070552" w14:textId="11E02820" w:rsidR="00DD5E13" w:rsidRPr="007610DF" w:rsidRDefault="00DD5E13" w:rsidP="00AE0CBE">
            <w:pPr>
              <w:pStyle w:val="ad"/>
              <w:spacing w:line="240" w:lineRule="auto"/>
              <w:jc w:val="both"/>
              <w:rPr>
                <w:b/>
                <w:sz w:val="20"/>
                <w:szCs w:val="20"/>
                <w:lang w:val="ru-RU"/>
              </w:rPr>
            </w:pPr>
          </w:p>
        </w:tc>
        <w:tc>
          <w:tcPr>
            <w:tcW w:w="1133" w:type="dxa"/>
            <w:vAlign w:val="center"/>
          </w:tcPr>
          <w:p w14:paraId="0BC76931" w14:textId="77777777" w:rsidR="006D45FB" w:rsidRDefault="006D45FB" w:rsidP="009508FA">
            <w:pPr>
              <w:spacing w:line="240" w:lineRule="auto"/>
              <w:jc w:val="both"/>
            </w:pPr>
          </w:p>
          <w:p w14:paraId="3BAA535C" w14:textId="77777777" w:rsidR="006D45FB" w:rsidRDefault="006D45FB" w:rsidP="009508FA">
            <w:pPr>
              <w:spacing w:line="240" w:lineRule="auto"/>
              <w:jc w:val="both"/>
            </w:pPr>
          </w:p>
          <w:p w14:paraId="6CB3411D" w14:textId="77777777" w:rsidR="006D45FB" w:rsidRDefault="006D45FB" w:rsidP="009508FA">
            <w:pPr>
              <w:spacing w:line="240" w:lineRule="auto"/>
              <w:jc w:val="both"/>
            </w:pPr>
          </w:p>
          <w:p w14:paraId="58700D5D" w14:textId="77777777" w:rsidR="006D45FB" w:rsidRPr="00493E76" w:rsidRDefault="006D45FB" w:rsidP="009508FA">
            <w:pPr>
              <w:spacing w:line="240" w:lineRule="auto"/>
              <w:jc w:val="both"/>
              <w:rPr>
                <w:color w:val="8496B0"/>
              </w:rPr>
            </w:pPr>
          </w:p>
        </w:tc>
      </w:tr>
    </w:tbl>
    <w:p w14:paraId="48931E5D" w14:textId="77777777" w:rsidR="00516B29" w:rsidRPr="00271E66" w:rsidRDefault="00516B29" w:rsidP="009508FA">
      <w:pPr>
        <w:spacing w:line="240" w:lineRule="auto"/>
        <w:jc w:val="both"/>
        <w:rPr>
          <w:sz w:val="20"/>
          <w:szCs w:val="20"/>
          <w:lang w:val="ru-RU"/>
        </w:rPr>
      </w:pPr>
      <w:bookmarkStart w:id="0" w:name="_GoBack"/>
      <w:bookmarkEnd w:id="0"/>
    </w:p>
    <w:sectPr w:rsidR="00516B29" w:rsidRPr="00271E6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CC"/>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0480"/>
    <w:multiLevelType w:val="hybridMultilevel"/>
    <w:tmpl w:val="2E48C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F92DE8"/>
    <w:multiLevelType w:val="multilevel"/>
    <w:tmpl w:val="7C88DDBE"/>
    <w:lvl w:ilvl="0">
      <w:start w:val="1"/>
      <w:numFmt w:val="decimal"/>
      <w:pStyle w:val="Inn"/>
      <w:lvlText w:val="%1."/>
      <w:lvlJc w:val="left"/>
      <w:pPr>
        <w:ind w:left="397" w:hanging="397"/>
      </w:pPr>
      <w:rPr>
        <w:rFonts w:ascii="Arial" w:hAnsi="Arial" w:hint="default"/>
        <w:b/>
        <w:i w:val="0"/>
        <w:color w:val="000000" w:themeColor="text1"/>
        <w:sz w:val="24"/>
      </w:rPr>
    </w:lvl>
    <w:lvl w:ilvl="1">
      <w:start w:val="1"/>
      <w:numFmt w:val="decimal"/>
      <w:pStyle w:val="Inn0"/>
      <w:lvlText w:val="%1.%2."/>
      <w:lvlJc w:val="left"/>
      <w:pPr>
        <w:ind w:left="2921" w:hanging="510"/>
      </w:pPr>
      <w:rPr>
        <w:rFonts w:hint="default"/>
      </w:rPr>
    </w:lvl>
    <w:lvl w:ilvl="2">
      <w:start w:val="1"/>
      <w:numFmt w:val="decimal"/>
      <w:lvlText w:val="%1.%2.%3."/>
      <w:lvlJc w:val="left"/>
      <w:pPr>
        <w:ind w:left="1531" w:hanging="624"/>
      </w:pPr>
      <w:rPr>
        <w:rFonts w:hint="default"/>
      </w:rPr>
    </w:lvl>
    <w:lvl w:ilvl="3">
      <w:start w:val="1"/>
      <w:numFmt w:val="decimal"/>
      <w:lvlText w:val="%1.%2.%3.%4."/>
      <w:lvlJc w:val="left"/>
      <w:pPr>
        <w:ind w:left="232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942C3F"/>
    <w:multiLevelType w:val="multilevel"/>
    <w:tmpl w:val="D7D81756"/>
    <w:lvl w:ilvl="0">
      <w:start w:val="1"/>
      <w:numFmt w:val="bullet"/>
      <w:pStyle w:val="Inn1"/>
      <w:lvlText w:val=""/>
      <w:lvlJc w:val="left"/>
      <w:pPr>
        <w:ind w:left="1191" w:hanging="284"/>
      </w:pPr>
      <w:rPr>
        <w:rFonts w:ascii="Symbol" w:hAnsi="Symbol" w:hint="default"/>
        <w:b w:val="0"/>
        <w:i w:val="0"/>
        <w:color w:val="auto"/>
        <w:spacing w:val="0"/>
        <w:sz w:val="20"/>
        <w:u w:val="none"/>
      </w:rPr>
    </w:lvl>
    <w:lvl w:ilvl="1">
      <w:start w:val="1"/>
      <w:numFmt w:val="bullet"/>
      <w:lvlText w:val=""/>
      <w:lvlJc w:val="left"/>
      <w:pPr>
        <w:ind w:left="1474" w:hanging="284"/>
      </w:pPr>
      <w:rPr>
        <w:rFonts w:ascii="Symbol" w:hAnsi="Symbol" w:hint="default"/>
        <w:b w:val="0"/>
        <w:i w:val="0"/>
        <w:color w:val="000000" w:themeColor="text1"/>
        <w:w w:val="100"/>
        <w:sz w:val="20"/>
      </w:rPr>
    </w:lvl>
    <w:lvl w:ilvl="2">
      <w:start w:val="1"/>
      <w:numFmt w:val="bullet"/>
      <w:lvlText w:val=""/>
      <w:lvlJc w:val="left"/>
      <w:pPr>
        <w:ind w:left="1757" w:hanging="283"/>
      </w:pPr>
      <w:rPr>
        <w:rFonts w:ascii="Symbol" w:hAnsi="Symbol" w:hint="default"/>
        <w:color w:val="auto"/>
      </w:rPr>
    </w:lvl>
    <w:lvl w:ilvl="3">
      <w:start w:val="1"/>
      <w:numFmt w:val="bullet"/>
      <w:lvlText w:val=""/>
      <w:lvlJc w:val="left"/>
      <w:pPr>
        <w:ind w:left="2041" w:hanging="284"/>
      </w:pPr>
      <w:rPr>
        <w:rFonts w:ascii="Symbol" w:hAnsi="Symbol" w:hint="default"/>
        <w:color w:val="auto"/>
      </w:rPr>
    </w:lvl>
    <w:lvl w:ilvl="4">
      <w:start w:val="1"/>
      <w:numFmt w:val="bullet"/>
      <w:lvlText w:val=""/>
      <w:lvlJc w:val="left"/>
      <w:pPr>
        <w:ind w:left="2324" w:hanging="283"/>
      </w:pPr>
      <w:rPr>
        <w:rFonts w:ascii="Symbol" w:hAnsi="Symbol" w:hint="default"/>
        <w:color w:val="auto"/>
      </w:rPr>
    </w:lvl>
    <w:lvl w:ilvl="5">
      <w:start w:val="1"/>
      <w:numFmt w:val="bullet"/>
      <w:lvlText w:val=""/>
      <w:lvlJc w:val="left"/>
      <w:pPr>
        <w:ind w:left="5024" w:hanging="936"/>
      </w:pPr>
      <w:rPr>
        <w:rFonts w:ascii="Symbol" w:hAnsi="Symbol" w:hint="default"/>
        <w:color w:val="auto"/>
      </w:rPr>
    </w:lvl>
    <w:lvl w:ilvl="6">
      <w:start w:val="1"/>
      <w:numFmt w:val="bullet"/>
      <w:lvlText w:val=""/>
      <w:lvlJc w:val="left"/>
      <w:pPr>
        <w:ind w:left="5528" w:hanging="1080"/>
      </w:pPr>
      <w:rPr>
        <w:rFonts w:ascii="Symbol" w:hAnsi="Symbol" w:hint="default"/>
        <w:color w:val="auto"/>
      </w:rPr>
    </w:lvl>
    <w:lvl w:ilvl="7">
      <w:start w:val="1"/>
      <w:numFmt w:val="bullet"/>
      <w:lvlText w:val=""/>
      <w:lvlJc w:val="left"/>
      <w:pPr>
        <w:ind w:left="6032" w:hanging="1224"/>
      </w:pPr>
      <w:rPr>
        <w:rFonts w:ascii="Symbol" w:hAnsi="Symbol" w:hint="default"/>
        <w:color w:val="auto"/>
      </w:rPr>
    </w:lvl>
    <w:lvl w:ilvl="8">
      <w:start w:val="1"/>
      <w:numFmt w:val="bullet"/>
      <w:lvlText w:val=""/>
      <w:lvlJc w:val="left"/>
      <w:pPr>
        <w:ind w:left="6608" w:hanging="1440"/>
      </w:pPr>
      <w:rPr>
        <w:rFonts w:ascii="Symbol" w:hAnsi="Symbol" w:hint="default"/>
        <w:color w:val="auto"/>
      </w:rPr>
    </w:lvl>
  </w:abstractNum>
  <w:abstractNum w:abstractNumId="3" w15:restartNumberingAfterBreak="0">
    <w:nsid w:val="1D8D6FEB"/>
    <w:multiLevelType w:val="hybridMultilevel"/>
    <w:tmpl w:val="CDF4BCE4"/>
    <w:lvl w:ilvl="0" w:tplc="866414E4">
      <w:start w:val="10"/>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195F2B"/>
    <w:multiLevelType w:val="hybridMultilevel"/>
    <w:tmpl w:val="60AAB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4C5D62"/>
    <w:multiLevelType w:val="multilevel"/>
    <w:tmpl w:val="95B60054"/>
    <w:lvl w:ilvl="0">
      <w:start w:val="1"/>
      <w:numFmt w:val="decimal"/>
      <w:lvlText w:val="%1."/>
      <w:lvlJc w:val="left"/>
      <w:pPr>
        <w:ind w:left="720" w:hanging="360"/>
      </w:pPr>
      <w:rPr>
        <w:color w:val="0301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5C048B"/>
    <w:multiLevelType w:val="multilevel"/>
    <w:tmpl w:val="6B181560"/>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7F70BB"/>
    <w:multiLevelType w:val="hybridMultilevel"/>
    <w:tmpl w:val="EF08B7AA"/>
    <w:lvl w:ilvl="0" w:tplc="7E224914">
      <w:start w:val="1"/>
      <w:numFmt w:val="decimal"/>
      <w:lvlText w:val="%1."/>
      <w:lvlJc w:val="left"/>
      <w:pPr>
        <w:ind w:left="720" w:hanging="360"/>
      </w:pPr>
      <w:rPr>
        <w:rFonts w:ascii="Arial" w:eastAsia="Arial" w:hAnsi="Arial"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4749DD"/>
    <w:multiLevelType w:val="hybridMultilevel"/>
    <w:tmpl w:val="B3C89CBA"/>
    <w:lvl w:ilvl="0" w:tplc="24B47E50">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2F3C7A"/>
    <w:multiLevelType w:val="hybridMultilevel"/>
    <w:tmpl w:val="AFE2E7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7A3236"/>
    <w:multiLevelType w:val="hybridMultilevel"/>
    <w:tmpl w:val="A52ABCA2"/>
    <w:lvl w:ilvl="0" w:tplc="45BE0E3C">
      <w:start w:val="1"/>
      <w:numFmt w:val="upperRoman"/>
      <w:lvlText w:val="%1."/>
      <w:lvlJc w:val="righ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995135"/>
    <w:multiLevelType w:val="hybridMultilevel"/>
    <w:tmpl w:val="CF265A6C"/>
    <w:lvl w:ilvl="0" w:tplc="6990361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1F616A"/>
    <w:multiLevelType w:val="multilevel"/>
    <w:tmpl w:val="46E8A434"/>
    <w:lvl w:ilvl="0">
      <w:start w:val="1"/>
      <w:numFmt w:val="decimal"/>
      <w:lvlText w:val="%1."/>
      <w:lvlJc w:val="left"/>
      <w:pPr>
        <w:ind w:left="720" w:hanging="360"/>
      </w:pPr>
      <w:rPr>
        <w:color w:val="0301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085CB4"/>
    <w:multiLevelType w:val="hybridMultilevel"/>
    <w:tmpl w:val="010695B0"/>
    <w:lvl w:ilvl="0" w:tplc="2864FB2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385983"/>
    <w:multiLevelType w:val="hybridMultilevel"/>
    <w:tmpl w:val="A57E3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D77A70"/>
    <w:multiLevelType w:val="hybridMultilevel"/>
    <w:tmpl w:val="DF6A8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FC024F"/>
    <w:multiLevelType w:val="multilevel"/>
    <w:tmpl w:val="74F414F2"/>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589"/>
      </w:pPr>
      <w:rPr>
        <w:rFonts w:ascii="Courier New" w:eastAsia="Courier New" w:hAnsi="Courier New" w:cs="Courier New"/>
        <w:b w:val="0"/>
        <w:sz w:val="20"/>
        <w:szCs w:val="20"/>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17" w15:restartNumberingAfterBreak="0">
    <w:nsid w:val="4ADE7C93"/>
    <w:multiLevelType w:val="multilevel"/>
    <w:tmpl w:val="AA840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0756D2"/>
    <w:multiLevelType w:val="hybridMultilevel"/>
    <w:tmpl w:val="BAACF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8B6A3C"/>
    <w:multiLevelType w:val="hybridMultilevel"/>
    <w:tmpl w:val="78E20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8714FF"/>
    <w:multiLevelType w:val="multilevel"/>
    <w:tmpl w:val="F50A2AC0"/>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0A76BED"/>
    <w:multiLevelType w:val="hybridMultilevel"/>
    <w:tmpl w:val="3036F6B2"/>
    <w:lvl w:ilvl="0" w:tplc="E2B4A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17F343A"/>
    <w:multiLevelType w:val="hybridMultilevel"/>
    <w:tmpl w:val="5BA2C898"/>
    <w:lvl w:ilvl="0" w:tplc="EB48C1B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80111C"/>
    <w:multiLevelType w:val="hybridMultilevel"/>
    <w:tmpl w:val="16F07A92"/>
    <w:lvl w:ilvl="0" w:tplc="5B8445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A1E7733"/>
    <w:multiLevelType w:val="hybridMultilevel"/>
    <w:tmpl w:val="15803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7C229E"/>
    <w:multiLevelType w:val="hybridMultilevel"/>
    <w:tmpl w:val="9AD2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1A3D6F"/>
    <w:multiLevelType w:val="hybridMultilevel"/>
    <w:tmpl w:val="792E79BA"/>
    <w:lvl w:ilvl="0" w:tplc="4EEE70C6">
      <w:start w:val="1"/>
      <w:numFmt w:val="decimal"/>
      <w:lvlText w:val="%1."/>
      <w:lvlJc w:val="left"/>
      <w:pPr>
        <w:ind w:left="720" w:hanging="360"/>
      </w:pPr>
      <w:rPr>
        <w:rFonts w:hint="default"/>
        <w:b w:val="0"/>
        <w:bCs/>
        <w:sz w:val="20"/>
        <w:szCs w:val="2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026962"/>
    <w:multiLevelType w:val="hybridMultilevel"/>
    <w:tmpl w:val="E9C84F3C"/>
    <w:lvl w:ilvl="0" w:tplc="448AF08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223F85"/>
    <w:multiLevelType w:val="hybridMultilevel"/>
    <w:tmpl w:val="FBC66790"/>
    <w:lvl w:ilvl="0" w:tplc="48BE22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FA11048"/>
    <w:multiLevelType w:val="hybridMultilevel"/>
    <w:tmpl w:val="D9169C3A"/>
    <w:lvl w:ilvl="0" w:tplc="D8EA426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0"/>
  </w:num>
  <w:num w:numId="3">
    <w:abstractNumId w:val="17"/>
  </w:num>
  <w:num w:numId="4">
    <w:abstractNumId w:val="7"/>
  </w:num>
  <w:num w:numId="5">
    <w:abstractNumId w:val="14"/>
  </w:num>
  <w:num w:numId="6">
    <w:abstractNumId w:val="15"/>
  </w:num>
  <w:num w:numId="7">
    <w:abstractNumId w:val="16"/>
  </w:num>
  <w:num w:numId="8">
    <w:abstractNumId w:val="8"/>
  </w:num>
  <w:num w:numId="9">
    <w:abstractNumId w:val="10"/>
  </w:num>
  <w:num w:numId="10">
    <w:abstractNumId w:val="27"/>
  </w:num>
  <w:num w:numId="11">
    <w:abstractNumId w:val="5"/>
  </w:num>
  <w:num w:numId="12">
    <w:abstractNumId w:val="12"/>
  </w:num>
  <w:num w:numId="13">
    <w:abstractNumId w:val="2"/>
  </w:num>
  <w:num w:numId="14">
    <w:abstractNumId w:val="25"/>
  </w:num>
  <w:num w:numId="15">
    <w:abstractNumId w:val="4"/>
  </w:num>
  <w:num w:numId="16">
    <w:abstractNumId w:val="1"/>
  </w:num>
  <w:num w:numId="17">
    <w:abstractNumId w:val="28"/>
  </w:num>
  <w:num w:numId="18">
    <w:abstractNumId w:val="9"/>
  </w:num>
  <w:num w:numId="19">
    <w:abstractNumId w:val="19"/>
  </w:num>
  <w:num w:numId="20">
    <w:abstractNumId w:val="21"/>
  </w:num>
  <w:num w:numId="21">
    <w:abstractNumId w:val="23"/>
  </w:num>
  <w:num w:numId="22">
    <w:abstractNumId w:val="0"/>
  </w:num>
  <w:num w:numId="23">
    <w:abstractNumId w:val="29"/>
  </w:num>
  <w:num w:numId="24">
    <w:abstractNumId w:val="11"/>
  </w:num>
  <w:num w:numId="25">
    <w:abstractNumId w:val="26"/>
  </w:num>
  <w:num w:numId="26">
    <w:abstractNumId w:val="13"/>
  </w:num>
  <w:num w:numId="27">
    <w:abstractNumId w:val="3"/>
  </w:num>
  <w:num w:numId="28">
    <w:abstractNumId w:val="18"/>
  </w:num>
  <w:num w:numId="29">
    <w:abstractNumId w:val="2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234"/>
    <w:rsid w:val="00012FE0"/>
    <w:rsid w:val="00013B95"/>
    <w:rsid w:val="00041C07"/>
    <w:rsid w:val="000437E0"/>
    <w:rsid w:val="00066087"/>
    <w:rsid w:val="000D7541"/>
    <w:rsid w:val="000F1A57"/>
    <w:rsid w:val="00136F00"/>
    <w:rsid w:val="00151234"/>
    <w:rsid w:val="00196D5F"/>
    <w:rsid w:val="001D3A69"/>
    <w:rsid w:val="001F330E"/>
    <w:rsid w:val="001F3543"/>
    <w:rsid w:val="00234111"/>
    <w:rsid w:val="00260AC3"/>
    <w:rsid w:val="00261175"/>
    <w:rsid w:val="00264239"/>
    <w:rsid w:val="00271E66"/>
    <w:rsid w:val="00295F9F"/>
    <w:rsid w:val="002D01CB"/>
    <w:rsid w:val="00320F64"/>
    <w:rsid w:val="00361B9A"/>
    <w:rsid w:val="003A4CA2"/>
    <w:rsid w:val="003A7AE1"/>
    <w:rsid w:val="003B4B3D"/>
    <w:rsid w:val="00406E25"/>
    <w:rsid w:val="00460F0F"/>
    <w:rsid w:val="00476542"/>
    <w:rsid w:val="00516B29"/>
    <w:rsid w:val="005201C8"/>
    <w:rsid w:val="005324CC"/>
    <w:rsid w:val="00576E89"/>
    <w:rsid w:val="005C51ED"/>
    <w:rsid w:val="005F7152"/>
    <w:rsid w:val="00610A90"/>
    <w:rsid w:val="006161AF"/>
    <w:rsid w:val="00681AAC"/>
    <w:rsid w:val="006D45FB"/>
    <w:rsid w:val="007042A7"/>
    <w:rsid w:val="00734B90"/>
    <w:rsid w:val="00744E8C"/>
    <w:rsid w:val="00755E92"/>
    <w:rsid w:val="007610DF"/>
    <w:rsid w:val="007D1A01"/>
    <w:rsid w:val="007E1F94"/>
    <w:rsid w:val="007E6BDE"/>
    <w:rsid w:val="007F6810"/>
    <w:rsid w:val="00882199"/>
    <w:rsid w:val="00884861"/>
    <w:rsid w:val="008D70C3"/>
    <w:rsid w:val="008F3897"/>
    <w:rsid w:val="00902221"/>
    <w:rsid w:val="00907697"/>
    <w:rsid w:val="009508FA"/>
    <w:rsid w:val="009E30F9"/>
    <w:rsid w:val="009F6AA9"/>
    <w:rsid w:val="00A000F5"/>
    <w:rsid w:val="00AA7C9C"/>
    <w:rsid w:val="00AB17A9"/>
    <w:rsid w:val="00AE0CBE"/>
    <w:rsid w:val="00AF371D"/>
    <w:rsid w:val="00B05C83"/>
    <w:rsid w:val="00B807C0"/>
    <w:rsid w:val="00BE6FFE"/>
    <w:rsid w:val="00C03CAA"/>
    <w:rsid w:val="00C718DF"/>
    <w:rsid w:val="00CE0282"/>
    <w:rsid w:val="00CF5E87"/>
    <w:rsid w:val="00D32F8B"/>
    <w:rsid w:val="00D74ED5"/>
    <w:rsid w:val="00D87D92"/>
    <w:rsid w:val="00DD5E13"/>
    <w:rsid w:val="00E301B0"/>
    <w:rsid w:val="00E352D0"/>
    <w:rsid w:val="00E41E54"/>
    <w:rsid w:val="00E6123E"/>
    <w:rsid w:val="00EA1828"/>
    <w:rsid w:val="00EE1C13"/>
    <w:rsid w:val="00EF1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36A1"/>
  <w15:docId w15:val="{AFAAB9A9-A694-8149-8E8D-AF763294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D74ED5"/>
    <w:rPr>
      <w:sz w:val="16"/>
      <w:szCs w:val="16"/>
    </w:rPr>
  </w:style>
  <w:style w:type="paragraph" w:styleId="a6">
    <w:name w:val="annotation text"/>
    <w:basedOn w:val="a"/>
    <w:link w:val="a7"/>
    <w:uiPriority w:val="99"/>
    <w:semiHidden/>
    <w:unhideWhenUsed/>
    <w:rsid w:val="00D74ED5"/>
    <w:pPr>
      <w:spacing w:line="240" w:lineRule="auto"/>
    </w:pPr>
    <w:rPr>
      <w:sz w:val="20"/>
      <w:szCs w:val="20"/>
    </w:rPr>
  </w:style>
  <w:style w:type="character" w:customStyle="1" w:styleId="a7">
    <w:name w:val="Текст примечания Знак"/>
    <w:basedOn w:val="a0"/>
    <w:link w:val="a6"/>
    <w:uiPriority w:val="99"/>
    <w:semiHidden/>
    <w:rsid w:val="00D74ED5"/>
    <w:rPr>
      <w:sz w:val="20"/>
      <w:szCs w:val="20"/>
    </w:rPr>
  </w:style>
  <w:style w:type="paragraph" w:styleId="a8">
    <w:name w:val="annotation subject"/>
    <w:basedOn w:val="a6"/>
    <w:next w:val="a6"/>
    <w:link w:val="a9"/>
    <w:uiPriority w:val="99"/>
    <w:semiHidden/>
    <w:unhideWhenUsed/>
    <w:rsid w:val="00D74ED5"/>
    <w:rPr>
      <w:b/>
      <w:bCs/>
    </w:rPr>
  </w:style>
  <w:style w:type="character" w:customStyle="1" w:styleId="a9">
    <w:name w:val="Тема примечания Знак"/>
    <w:basedOn w:val="a7"/>
    <w:link w:val="a8"/>
    <w:uiPriority w:val="99"/>
    <w:semiHidden/>
    <w:rsid w:val="00D74ED5"/>
    <w:rPr>
      <w:b/>
      <w:bCs/>
      <w:sz w:val="20"/>
      <w:szCs w:val="20"/>
    </w:rPr>
  </w:style>
  <w:style w:type="paragraph" w:styleId="aa">
    <w:name w:val="Balloon Text"/>
    <w:basedOn w:val="a"/>
    <w:link w:val="ab"/>
    <w:uiPriority w:val="99"/>
    <w:semiHidden/>
    <w:unhideWhenUsed/>
    <w:rsid w:val="00D74ED5"/>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74ED5"/>
    <w:rPr>
      <w:rFonts w:ascii="Segoe UI" w:hAnsi="Segoe UI" w:cs="Segoe UI"/>
      <w:sz w:val="18"/>
      <w:szCs w:val="18"/>
    </w:rPr>
  </w:style>
  <w:style w:type="paragraph" w:styleId="ac">
    <w:name w:val="Revision"/>
    <w:hidden/>
    <w:uiPriority w:val="99"/>
    <w:semiHidden/>
    <w:rsid w:val="00196D5F"/>
    <w:pPr>
      <w:spacing w:line="240" w:lineRule="auto"/>
    </w:pPr>
  </w:style>
  <w:style w:type="paragraph" w:customStyle="1" w:styleId="p1">
    <w:name w:val="p1"/>
    <w:basedOn w:val="a"/>
    <w:rsid w:val="00E352D0"/>
    <w:pPr>
      <w:spacing w:line="240" w:lineRule="auto"/>
    </w:pPr>
    <w:rPr>
      <w:rFonts w:ascii="Helvetica Neue" w:eastAsia="Times New Roman" w:hAnsi="Helvetica Neue" w:cs="Calibri"/>
      <w:color w:val="000000"/>
      <w:sz w:val="24"/>
      <w:szCs w:val="24"/>
      <w:lang w:val="ru-RU"/>
    </w:rPr>
  </w:style>
  <w:style w:type="paragraph" w:styleId="ad">
    <w:name w:val="List Paragraph"/>
    <w:aliases w:val="ARIAL,Íóìåðîâàíûé ñïèñîê,Annexure,heading 9,No3,Heading 91,Список точки,Elenco Normale,маркированный,Абзац с отступом,3_Абзац списка,Уровент 2.2,Normal bold,List Paragraph_0,List Paragraph_1,Маркер"/>
    <w:basedOn w:val="a"/>
    <w:link w:val="ae"/>
    <w:uiPriority w:val="34"/>
    <w:qFormat/>
    <w:rsid w:val="00610A90"/>
    <w:pPr>
      <w:ind w:left="720"/>
      <w:contextualSpacing/>
    </w:pPr>
  </w:style>
  <w:style w:type="character" w:customStyle="1" w:styleId="ae">
    <w:name w:val="Абзац списка Знак"/>
    <w:aliases w:val="ARIAL Знак,Íóìåðîâàíûé ñïèñîê Знак,Annexure Знак,heading 9 Знак,No3 Знак,Heading 91 Знак,Список точки Знак,Elenco Normale Знак,маркированный Знак,Абзац с отступом Знак,3_Абзац списка Знак,Уровент 2.2 Знак,Normal bold Знак,Маркер Знак"/>
    <w:basedOn w:val="a0"/>
    <w:link w:val="ad"/>
    <w:uiPriority w:val="34"/>
    <w:locked/>
    <w:rsid w:val="006D45FB"/>
  </w:style>
  <w:style w:type="paragraph" w:customStyle="1" w:styleId="Inn1">
    <w:name w:val="Inn. Список (маркеры)"/>
    <w:basedOn w:val="a"/>
    <w:qFormat/>
    <w:rsid w:val="006D45FB"/>
    <w:pPr>
      <w:numPr>
        <w:numId w:val="13"/>
      </w:numPr>
      <w:spacing w:after="60" w:line="264" w:lineRule="auto"/>
    </w:pPr>
    <w:rPr>
      <w:rFonts w:asciiTheme="minorHAnsi" w:eastAsiaTheme="minorHAnsi" w:hAnsiTheme="minorHAnsi"/>
      <w:sz w:val="20"/>
      <w:szCs w:val="20"/>
      <w:lang w:val="ru-RU" w:eastAsia="en-US"/>
    </w:rPr>
  </w:style>
  <w:style w:type="table" w:styleId="af">
    <w:name w:val="Table Grid"/>
    <w:basedOn w:val="a1"/>
    <w:uiPriority w:val="59"/>
    <w:rsid w:val="006D45FB"/>
    <w:pPr>
      <w:spacing w:line="240" w:lineRule="auto"/>
    </w:pPr>
    <w:rPr>
      <w:rFonts w:ascii="Calibri" w:eastAsia="Calibri" w:hAnsi="Calibri" w:cs="Times New Roman"/>
      <w:sz w:val="20"/>
      <w:szCs w:val="20"/>
      <w:lang w:val="ru-RU"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n">
    <w:name w:val="Inn. Заг. раздела"/>
    <w:next w:val="Inn0"/>
    <w:qFormat/>
    <w:rsid w:val="00136F00"/>
    <w:pPr>
      <w:numPr>
        <w:numId w:val="16"/>
      </w:numPr>
      <w:spacing w:before="240" w:after="120" w:line="240" w:lineRule="auto"/>
    </w:pPr>
    <w:rPr>
      <w:rFonts w:asciiTheme="minorHAnsi" w:eastAsiaTheme="minorHAnsi" w:hAnsiTheme="minorHAnsi"/>
      <w:b/>
      <w:bCs/>
      <w:sz w:val="24"/>
      <w:szCs w:val="20"/>
      <w:lang w:val="ru-RU" w:eastAsia="en-US"/>
    </w:rPr>
  </w:style>
  <w:style w:type="paragraph" w:customStyle="1" w:styleId="Inn0">
    <w:name w:val="Inn. Пункты"/>
    <w:basedOn w:val="a"/>
    <w:qFormat/>
    <w:rsid w:val="00136F00"/>
    <w:pPr>
      <w:numPr>
        <w:ilvl w:val="1"/>
        <w:numId w:val="16"/>
      </w:numPr>
      <w:tabs>
        <w:tab w:val="left" w:pos="1276"/>
        <w:tab w:val="left" w:pos="2552"/>
        <w:tab w:val="left" w:pos="2977"/>
        <w:tab w:val="left" w:pos="3686"/>
        <w:tab w:val="left" w:pos="5245"/>
        <w:tab w:val="left" w:pos="5812"/>
      </w:tabs>
      <w:spacing w:after="60"/>
      <w:ind w:right="142"/>
    </w:pPr>
    <w:rPr>
      <w:rFonts w:asciiTheme="minorHAnsi" w:eastAsiaTheme="minorHAnsi" w:hAnsiTheme="minorHAnsi"/>
      <w:color w:val="000000"/>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4124">
      <w:bodyDiv w:val="1"/>
      <w:marLeft w:val="0"/>
      <w:marRight w:val="0"/>
      <w:marTop w:val="0"/>
      <w:marBottom w:val="0"/>
      <w:divBdr>
        <w:top w:val="none" w:sz="0" w:space="0" w:color="auto"/>
        <w:left w:val="none" w:sz="0" w:space="0" w:color="auto"/>
        <w:bottom w:val="none" w:sz="0" w:space="0" w:color="auto"/>
        <w:right w:val="none" w:sz="0" w:space="0" w:color="auto"/>
      </w:divBdr>
    </w:div>
    <w:div w:id="118308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dviser.ru/index.php/%D0%9A%D0%BE%D0%BC%D0%BF%D0%B0%D0%BD%D0%B8%D1%8F:%D0%A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3431</Words>
  <Characters>19560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Агафьева Анастасия Сергеевна</dc:creator>
  <cp:lastModifiedBy>Мануилов Владимир Юрьевич</cp:lastModifiedBy>
  <cp:revision>3</cp:revision>
  <dcterms:created xsi:type="dcterms:W3CDTF">2024-09-10T07:41:00Z</dcterms:created>
  <dcterms:modified xsi:type="dcterms:W3CDTF">2024-09-10T08:00:00Z</dcterms:modified>
</cp:coreProperties>
</file>