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6B8B5F24" w:rsidR="00532A53" w:rsidRPr="00E35979" w:rsidRDefault="00532A53" w:rsidP="00E35979">
      <w:pPr>
        <w:ind w:right="-610"/>
        <w:jc w:val="both"/>
        <w:rPr>
          <w:sz w:val="20"/>
          <w:szCs w:val="20"/>
        </w:rPr>
      </w:pPr>
      <w:bookmarkStart w:id="0" w:name="_GoBack"/>
      <w:bookmarkEnd w:id="0"/>
    </w:p>
    <w:p w14:paraId="00000002" w14:textId="77777777" w:rsidR="00532A53" w:rsidRPr="00E35979" w:rsidRDefault="00532A53" w:rsidP="00E35979">
      <w:pPr>
        <w:ind w:right="-610"/>
        <w:jc w:val="both"/>
        <w:rPr>
          <w:sz w:val="20"/>
          <w:szCs w:val="20"/>
        </w:rPr>
      </w:pPr>
    </w:p>
    <w:p w14:paraId="00000003" w14:textId="77777777" w:rsidR="00532A53" w:rsidRPr="00E35979" w:rsidRDefault="001F37C5" w:rsidP="00E35979">
      <w:pPr>
        <w:ind w:right="-610"/>
        <w:jc w:val="both"/>
        <w:rPr>
          <w:b/>
          <w:sz w:val="20"/>
          <w:szCs w:val="20"/>
        </w:rPr>
      </w:pPr>
      <w:r w:rsidRPr="00E35979">
        <w:rPr>
          <w:b/>
          <w:sz w:val="20"/>
          <w:szCs w:val="20"/>
        </w:rPr>
        <w:t>Тестовое задание</w:t>
      </w:r>
    </w:p>
    <w:p w14:paraId="265B4CE9" w14:textId="0E17F2C8" w:rsidR="007B66AB" w:rsidRPr="007B66AB" w:rsidRDefault="001F37C5" w:rsidP="007B66AB">
      <w:pPr>
        <w:pStyle w:val="a5"/>
        <w:numPr>
          <w:ilvl w:val="0"/>
          <w:numId w:val="7"/>
        </w:numPr>
        <w:spacing w:before="120" w:line="256" w:lineRule="auto"/>
        <w:ind w:right="-610"/>
        <w:jc w:val="both"/>
        <w:rPr>
          <w:sz w:val="20"/>
          <w:szCs w:val="20"/>
        </w:rPr>
      </w:pPr>
      <w:r w:rsidRPr="00E35979">
        <w:rPr>
          <w:sz w:val="20"/>
          <w:szCs w:val="20"/>
        </w:rPr>
        <w:t xml:space="preserve">Предложите </w:t>
      </w:r>
      <w:r w:rsidR="0083303A">
        <w:rPr>
          <w:sz w:val="20"/>
          <w:szCs w:val="20"/>
          <w:lang w:val="ru-RU"/>
        </w:rPr>
        <w:t>не менее тр</w:t>
      </w:r>
      <w:r w:rsidR="00272227">
        <w:rPr>
          <w:sz w:val="20"/>
          <w:szCs w:val="20"/>
          <w:lang w:val="ru-RU"/>
        </w:rPr>
        <w:t>ё</w:t>
      </w:r>
      <w:r w:rsidR="0083303A">
        <w:rPr>
          <w:sz w:val="20"/>
          <w:szCs w:val="20"/>
          <w:lang w:val="ru-RU"/>
        </w:rPr>
        <w:t>х</w:t>
      </w:r>
      <w:r w:rsidR="00F574C2">
        <w:rPr>
          <w:sz w:val="20"/>
          <w:szCs w:val="20"/>
          <w:lang w:val="ru-RU"/>
        </w:rPr>
        <w:t xml:space="preserve"> профильных подкастов или шоу</w:t>
      </w:r>
      <w:r w:rsidR="00A4270D">
        <w:rPr>
          <w:sz w:val="20"/>
          <w:szCs w:val="20"/>
          <w:lang w:val="ru-RU"/>
        </w:rPr>
        <w:t xml:space="preserve"> </w:t>
      </w:r>
      <w:r w:rsidR="00F574C2">
        <w:rPr>
          <w:sz w:val="20"/>
          <w:szCs w:val="20"/>
          <w:lang w:val="ru-RU"/>
        </w:rPr>
        <w:t xml:space="preserve">на </w:t>
      </w:r>
      <w:proofErr w:type="spellStart"/>
      <w:r w:rsidR="00F574C2">
        <w:rPr>
          <w:sz w:val="20"/>
          <w:szCs w:val="20"/>
          <w:lang w:val="en-US"/>
        </w:rPr>
        <w:t>Rutube</w:t>
      </w:r>
      <w:proofErr w:type="spellEnd"/>
      <w:r w:rsidR="00F574C2">
        <w:rPr>
          <w:sz w:val="20"/>
          <w:szCs w:val="20"/>
          <w:lang w:val="ru-RU"/>
        </w:rPr>
        <w:t xml:space="preserve"> или других платформах </w:t>
      </w:r>
      <w:r w:rsidR="00A4270D">
        <w:rPr>
          <w:sz w:val="20"/>
          <w:szCs w:val="20"/>
          <w:lang w:val="ru-RU"/>
        </w:rPr>
        <w:t>для участия ключевых спикеров Холдинга Т1</w:t>
      </w:r>
      <w:r w:rsidR="007B66AB">
        <w:rPr>
          <w:sz w:val="20"/>
          <w:szCs w:val="20"/>
          <w:lang w:val="ru-RU"/>
        </w:rPr>
        <w:t xml:space="preserve">. </w:t>
      </w:r>
      <w:r w:rsidR="00F52EE1">
        <w:rPr>
          <w:sz w:val="20"/>
          <w:szCs w:val="20"/>
          <w:lang w:val="ru-RU"/>
        </w:rPr>
        <w:t xml:space="preserve">Для каждой интеграции подберите не менее трёх тем, </w:t>
      </w:r>
      <w:r w:rsidR="00A9140E">
        <w:rPr>
          <w:sz w:val="20"/>
          <w:szCs w:val="20"/>
          <w:lang w:val="ru-RU"/>
        </w:rPr>
        <w:t>рас</w:t>
      </w:r>
      <w:r w:rsidR="007B66AB">
        <w:rPr>
          <w:sz w:val="20"/>
          <w:szCs w:val="20"/>
          <w:lang w:val="ru-RU"/>
        </w:rPr>
        <w:t xml:space="preserve">пишите пошаговый план </w:t>
      </w:r>
      <w:r w:rsidR="00F52EE1">
        <w:rPr>
          <w:sz w:val="20"/>
          <w:szCs w:val="20"/>
          <w:lang w:val="ru-RU"/>
        </w:rPr>
        <w:t xml:space="preserve">реализации проекта </w:t>
      </w:r>
      <w:r w:rsidR="007B66AB">
        <w:rPr>
          <w:sz w:val="20"/>
          <w:szCs w:val="20"/>
          <w:lang w:val="ru-RU"/>
        </w:rPr>
        <w:t xml:space="preserve">и ожидаемые результаты. </w:t>
      </w:r>
    </w:p>
    <w:p w14:paraId="200EF30F" w14:textId="77777777" w:rsidR="007B66AB" w:rsidRPr="007B66AB" w:rsidRDefault="007B66AB" w:rsidP="007B66AB">
      <w:pPr>
        <w:pStyle w:val="a5"/>
        <w:spacing w:before="120" w:line="256" w:lineRule="auto"/>
        <w:ind w:right="-610"/>
        <w:jc w:val="both"/>
        <w:rPr>
          <w:sz w:val="20"/>
          <w:szCs w:val="20"/>
        </w:rPr>
      </w:pPr>
    </w:p>
    <w:p w14:paraId="77BA253D" w14:textId="19CA3B3E" w:rsidR="00A9140E" w:rsidRPr="00A9140E" w:rsidRDefault="007B66AB" w:rsidP="00A9140E">
      <w:pPr>
        <w:pStyle w:val="a5"/>
        <w:numPr>
          <w:ilvl w:val="0"/>
          <w:numId w:val="7"/>
        </w:numPr>
        <w:spacing w:before="120" w:line="256" w:lineRule="auto"/>
        <w:ind w:right="-610"/>
        <w:jc w:val="both"/>
        <w:rPr>
          <w:sz w:val="20"/>
          <w:szCs w:val="20"/>
        </w:rPr>
      </w:pPr>
      <w:r>
        <w:rPr>
          <w:sz w:val="20"/>
          <w:szCs w:val="20"/>
          <w:lang w:val="ru-RU"/>
        </w:rPr>
        <w:t xml:space="preserve">Предложите </w:t>
      </w:r>
      <w:r w:rsidR="00F52EE1">
        <w:rPr>
          <w:sz w:val="20"/>
          <w:szCs w:val="20"/>
          <w:lang w:val="ru-RU"/>
        </w:rPr>
        <w:t xml:space="preserve">не менее трёх креативных идей для совместных </w:t>
      </w:r>
      <w:r w:rsidR="00F52EE1">
        <w:rPr>
          <w:sz w:val="20"/>
          <w:szCs w:val="20"/>
          <w:lang w:val="en-US"/>
        </w:rPr>
        <w:t>PR</w:t>
      </w:r>
      <w:r w:rsidR="00F52EE1" w:rsidRPr="00F52EE1">
        <w:rPr>
          <w:sz w:val="20"/>
          <w:szCs w:val="20"/>
          <w:lang w:val="ru-RU"/>
        </w:rPr>
        <w:t>-</w:t>
      </w:r>
      <w:r w:rsidR="00F52EE1">
        <w:rPr>
          <w:sz w:val="20"/>
          <w:szCs w:val="20"/>
          <w:lang w:val="ru-RU"/>
        </w:rPr>
        <w:t>кампаний</w:t>
      </w:r>
      <w:r w:rsidR="00380ADF">
        <w:rPr>
          <w:sz w:val="20"/>
          <w:szCs w:val="20"/>
          <w:lang w:val="ru-RU"/>
        </w:rPr>
        <w:t xml:space="preserve"> </w:t>
      </w:r>
      <w:r w:rsidR="00F52EE1">
        <w:rPr>
          <w:sz w:val="20"/>
          <w:szCs w:val="20"/>
          <w:lang w:val="ru-RU"/>
        </w:rPr>
        <w:t>Холдинга Т1</w:t>
      </w:r>
      <w:r w:rsidR="00380ADF">
        <w:rPr>
          <w:sz w:val="20"/>
          <w:szCs w:val="20"/>
          <w:lang w:val="ru-RU"/>
        </w:rPr>
        <w:t xml:space="preserve"> с потенциальными бизнес-партнёрами (ИТ-компании, банки, ритейл и т.д.)</w:t>
      </w:r>
      <w:r w:rsidR="00F52EE1">
        <w:rPr>
          <w:sz w:val="20"/>
          <w:szCs w:val="20"/>
          <w:lang w:val="ru-RU"/>
        </w:rPr>
        <w:t xml:space="preserve">. </w:t>
      </w:r>
      <w:r>
        <w:rPr>
          <w:sz w:val="20"/>
          <w:szCs w:val="20"/>
          <w:lang w:val="ru-RU"/>
        </w:rPr>
        <w:t>Од</w:t>
      </w:r>
      <w:r w:rsidR="00226661">
        <w:rPr>
          <w:sz w:val="20"/>
          <w:szCs w:val="20"/>
          <w:lang w:val="ru-RU"/>
        </w:rPr>
        <w:t>ну</w:t>
      </w:r>
      <w:r>
        <w:rPr>
          <w:sz w:val="20"/>
          <w:szCs w:val="20"/>
          <w:lang w:val="ru-RU"/>
        </w:rPr>
        <w:t xml:space="preserve"> из идей</w:t>
      </w:r>
      <w:r w:rsidR="00226661">
        <w:rPr>
          <w:sz w:val="20"/>
          <w:szCs w:val="20"/>
          <w:lang w:val="ru-RU"/>
        </w:rPr>
        <w:t xml:space="preserve"> проработайте</w:t>
      </w:r>
      <w:r>
        <w:rPr>
          <w:sz w:val="20"/>
          <w:szCs w:val="20"/>
          <w:lang w:val="ru-RU"/>
        </w:rPr>
        <w:t xml:space="preserve"> детально</w:t>
      </w:r>
      <w:r w:rsidR="00226661">
        <w:rPr>
          <w:sz w:val="20"/>
          <w:szCs w:val="20"/>
          <w:lang w:val="ru-RU"/>
        </w:rPr>
        <w:t xml:space="preserve">: </w:t>
      </w:r>
      <w:r w:rsidR="00A9140E">
        <w:rPr>
          <w:sz w:val="20"/>
          <w:szCs w:val="20"/>
          <w:lang w:val="ru-RU"/>
        </w:rPr>
        <w:t>опишите креативную концепцию, определите цели, задачи, план продвижения проекта в новых медиа</w:t>
      </w:r>
      <w:r w:rsidR="00226661">
        <w:rPr>
          <w:sz w:val="20"/>
          <w:szCs w:val="20"/>
          <w:lang w:val="ru-RU"/>
        </w:rPr>
        <w:t xml:space="preserve">. </w:t>
      </w:r>
    </w:p>
    <w:p w14:paraId="3167C6B0" w14:textId="77777777" w:rsidR="00A9140E" w:rsidRPr="006E7601" w:rsidRDefault="00A9140E" w:rsidP="00A9140E">
      <w:pPr>
        <w:spacing w:before="120" w:line="256" w:lineRule="auto"/>
        <w:ind w:right="-610"/>
        <w:jc w:val="both"/>
        <w:rPr>
          <w:sz w:val="20"/>
          <w:szCs w:val="20"/>
          <w:lang w:val="ru-RU"/>
        </w:rPr>
      </w:pPr>
    </w:p>
    <w:p w14:paraId="00000008" w14:textId="2920F59E" w:rsidR="00532A53" w:rsidRDefault="001F37C5" w:rsidP="00D86E36">
      <w:pPr>
        <w:pStyle w:val="a5"/>
        <w:numPr>
          <w:ilvl w:val="0"/>
          <w:numId w:val="7"/>
        </w:numPr>
        <w:spacing w:after="120" w:line="256" w:lineRule="auto"/>
        <w:ind w:right="-610"/>
        <w:jc w:val="both"/>
        <w:rPr>
          <w:sz w:val="20"/>
          <w:szCs w:val="20"/>
        </w:rPr>
      </w:pPr>
      <w:r w:rsidRPr="00D86E36">
        <w:rPr>
          <w:sz w:val="20"/>
          <w:szCs w:val="20"/>
        </w:rPr>
        <w:t xml:space="preserve">Разработайте </w:t>
      </w:r>
      <w:r w:rsidR="0098423B" w:rsidRPr="00D86E36">
        <w:rPr>
          <w:sz w:val="20"/>
          <w:szCs w:val="20"/>
          <w:lang w:val="ru-RU"/>
        </w:rPr>
        <w:t xml:space="preserve">креативную концепцию </w:t>
      </w:r>
      <w:r w:rsidR="00A9140E">
        <w:rPr>
          <w:sz w:val="20"/>
          <w:szCs w:val="20"/>
          <w:lang w:val="ru-RU"/>
        </w:rPr>
        <w:t xml:space="preserve">масштабной </w:t>
      </w:r>
      <w:r w:rsidR="0098423B" w:rsidRPr="00D86E36">
        <w:rPr>
          <w:sz w:val="20"/>
          <w:szCs w:val="20"/>
          <w:lang w:val="ru-RU"/>
        </w:rPr>
        <w:t xml:space="preserve">интегрированной </w:t>
      </w:r>
      <w:r w:rsidR="0098423B" w:rsidRPr="00D86E36">
        <w:rPr>
          <w:sz w:val="20"/>
          <w:szCs w:val="20"/>
          <w:lang w:val="en-US"/>
        </w:rPr>
        <w:t>PR</w:t>
      </w:r>
      <w:r w:rsidR="0098423B" w:rsidRPr="00D86E36">
        <w:rPr>
          <w:sz w:val="20"/>
          <w:szCs w:val="20"/>
          <w:lang w:val="ru-RU"/>
        </w:rPr>
        <w:t>-кампании в формате 360</w:t>
      </w:r>
      <w:r w:rsidR="00B42AF0">
        <w:rPr>
          <w:sz w:val="20"/>
          <w:szCs w:val="20"/>
          <w:lang w:val="ru-RU"/>
        </w:rPr>
        <w:t xml:space="preserve"> в рамках одного из ключевых бизнес-мероприятий</w:t>
      </w:r>
      <w:r w:rsidR="00835660">
        <w:rPr>
          <w:sz w:val="20"/>
          <w:szCs w:val="20"/>
          <w:lang w:val="ru-RU"/>
        </w:rPr>
        <w:t xml:space="preserve"> индустрии</w:t>
      </w:r>
      <w:r w:rsidR="00B42AF0">
        <w:rPr>
          <w:sz w:val="20"/>
          <w:szCs w:val="20"/>
          <w:lang w:val="ru-RU"/>
        </w:rPr>
        <w:t xml:space="preserve"> (ЦИПР, ПМЭФ, </w:t>
      </w:r>
      <w:r w:rsidR="00B42AF0">
        <w:rPr>
          <w:sz w:val="20"/>
          <w:szCs w:val="20"/>
          <w:lang w:val="en-US"/>
        </w:rPr>
        <w:t>FINOPOLIS</w:t>
      </w:r>
      <w:r w:rsidR="00B42AF0" w:rsidRPr="00B42AF0">
        <w:rPr>
          <w:sz w:val="20"/>
          <w:szCs w:val="20"/>
          <w:lang w:val="ru-RU"/>
        </w:rPr>
        <w:t xml:space="preserve"> </w:t>
      </w:r>
      <w:r w:rsidR="00B42AF0">
        <w:rPr>
          <w:sz w:val="20"/>
          <w:szCs w:val="20"/>
          <w:lang w:val="ru-RU"/>
        </w:rPr>
        <w:t>и т.д.)</w:t>
      </w:r>
      <w:r w:rsidRPr="00D86E36">
        <w:rPr>
          <w:sz w:val="20"/>
          <w:szCs w:val="20"/>
        </w:rPr>
        <w:t>. Опишите план продвижения, включите необходимые активности</w:t>
      </w:r>
      <w:r w:rsidR="00D86E36">
        <w:rPr>
          <w:sz w:val="20"/>
          <w:szCs w:val="20"/>
          <w:lang w:val="ru-RU"/>
        </w:rPr>
        <w:t xml:space="preserve"> с акцентом на </w:t>
      </w:r>
      <w:r w:rsidRPr="00D86E36">
        <w:rPr>
          <w:sz w:val="20"/>
          <w:szCs w:val="20"/>
        </w:rPr>
        <w:t>публикации в новых медиа, социальных сетях</w:t>
      </w:r>
      <w:r w:rsidR="00F52EE1">
        <w:rPr>
          <w:sz w:val="20"/>
          <w:szCs w:val="20"/>
          <w:lang w:val="ru-RU"/>
        </w:rPr>
        <w:t xml:space="preserve">, </w:t>
      </w:r>
      <w:r w:rsidR="008E4A78">
        <w:rPr>
          <w:sz w:val="20"/>
          <w:szCs w:val="20"/>
          <w:lang w:val="ru-RU"/>
        </w:rPr>
        <w:t>в том числе</w:t>
      </w:r>
      <w:r w:rsidR="00F52EE1">
        <w:rPr>
          <w:sz w:val="20"/>
          <w:szCs w:val="20"/>
          <w:lang w:val="ru-RU"/>
        </w:rPr>
        <w:t xml:space="preserve"> коллаборации с лидерами мнений и блогерами, </w:t>
      </w:r>
      <w:r w:rsidRPr="00D86E36">
        <w:rPr>
          <w:sz w:val="20"/>
          <w:szCs w:val="20"/>
        </w:rPr>
        <w:t>и офлайн</w:t>
      </w:r>
      <w:r w:rsidR="00D86E36">
        <w:rPr>
          <w:sz w:val="20"/>
          <w:szCs w:val="20"/>
          <w:lang w:val="ru-RU"/>
        </w:rPr>
        <w:t>-формате</w:t>
      </w:r>
      <w:r w:rsidRPr="00D86E36">
        <w:rPr>
          <w:sz w:val="20"/>
          <w:szCs w:val="20"/>
        </w:rPr>
        <w:t>.</w:t>
      </w:r>
      <w:r w:rsidR="00D86E36">
        <w:rPr>
          <w:sz w:val="20"/>
          <w:szCs w:val="20"/>
          <w:lang w:val="ru-RU"/>
        </w:rPr>
        <w:t xml:space="preserve"> При подготовке ответа на задание Агентству необходимо учесть активности прямых конкурентов Т1</w:t>
      </w:r>
      <w:r w:rsidR="00B42AF0">
        <w:rPr>
          <w:sz w:val="20"/>
          <w:szCs w:val="20"/>
          <w:lang w:val="ru-RU"/>
        </w:rPr>
        <w:t xml:space="preserve">. </w:t>
      </w:r>
    </w:p>
    <w:p w14:paraId="67074CE0" w14:textId="77777777" w:rsidR="00D86E36" w:rsidRPr="00D86E36" w:rsidRDefault="00D86E36" w:rsidP="00D86E36">
      <w:pPr>
        <w:pStyle w:val="a5"/>
        <w:rPr>
          <w:sz w:val="20"/>
          <w:szCs w:val="20"/>
        </w:rPr>
      </w:pPr>
    </w:p>
    <w:p w14:paraId="336FE740" w14:textId="159326B0" w:rsidR="00D86E36" w:rsidRPr="00D86E36" w:rsidRDefault="00D86E36" w:rsidP="00D86E36">
      <w:pPr>
        <w:spacing w:after="120" w:line="256" w:lineRule="auto"/>
        <w:ind w:right="-610"/>
        <w:jc w:val="both"/>
        <w:rPr>
          <w:b/>
          <w:bCs/>
          <w:sz w:val="20"/>
          <w:szCs w:val="20"/>
          <w:lang w:val="ru-RU"/>
        </w:rPr>
      </w:pPr>
      <w:r w:rsidRPr="00D86E36">
        <w:rPr>
          <w:b/>
          <w:bCs/>
          <w:sz w:val="20"/>
          <w:szCs w:val="20"/>
          <w:lang w:val="en-US"/>
        </w:rPr>
        <w:t>PR</w:t>
      </w:r>
      <w:r w:rsidRPr="00D86E36">
        <w:rPr>
          <w:b/>
          <w:bCs/>
          <w:sz w:val="20"/>
          <w:szCs w:val="20"/>
          <w:lang w:val="ru-RU"/>
        </w:rPr>
        <w:t>-кампания должна быть предложена с учетом следующих задач:</w:t>
      </w:r>
    </w:p>
    <w:p w14:paraId="45A63923" w14:textId="77777777" w:rsidR="00F52EE1" w:rsidRDefault="00D86E36" w:rsidP="00D86E36">
      <w:pPr>
        <w:spacing w:line="240" w:lineRule="auto"/>
        <w:ind w:right="-61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- </w:t>
      </w:r>
      <w:r w:rsidR="00F52EE1">
        <w:rPr>
          <w:sz w:val="20"/>
          <w:szCs w:val="20"/>
          <w:lang w:val="ru-RU"/>
        </w:rPr>
        <w:t>Продвижение экспертизы Холдинга Т1</w:t>
      </w:r>
      <w:r w:rsidR="00F52EE1" w:rsidRPr="00F52EE1">
        <w:rPr>
          <w:sz w:val="20"/>
          <w:szCs w:val="20"/>
        </w:rPr>
        <w:t xml:space="preserve"> </w:t>
      </w:r>
      <w:r w:rsidR="00F52EE1" w:rsidRPr="00E35979">
        <w:rPr>
          <w:sz w:val="20"/>
          <w:szCs w:val="20"/>
        </w:rPr>
        <w:t xml:space="preserve">и его отдельных </w:t>
      </w:r>
      <w:r w:rsidR="00F52EE1" w:rsidRPr="00E35979">
        <w:rPr>
          <w:sz w:val="20"/>
          <w:szCs w:val="20"/>
          <w:lang w:val="ru-RU"/>
        </w:rPr>
        <w:t>бизнес-направлени</w:t>
      </w:r>
      <w:r w:rsidR="00F52EE1">
        <w:rPr>
          <w:sz w:val="20"/>
          <w:szCs w:val="20"/>
          <w:lang w:val="ru-RU"/>
        </w:rPr>
        <w:t>й</w:t>
      </w:r>
      <w:r w:rsidR="00F52EE1" w:rsidRPr="00E35979">
        <w:rPr>
          <w:sz w:val="20"/>
          <w:szCs w:val="20"/>
          <w:lang w:val="ru-RU"/>
        </w:rPr>
        <w:t>/</w:t>
      </w:r>
      <w:r w:rsidR="00F52EE1" w:rsidRPr="00E35979">
        <w:rPr>
          <w:sz w:val="20"/>
          <w:szCs w:val="20"/>
        </w:rPr>
        <w:t>продуктов/брендов</w:t>
      </w:r>
      <w:r w:rsidR="00F52EE1">
        <w:rPr>
          <w:sz w:val="20"/>
          <w:szCs w:val="20"/>
          <w:lang w:val="ru-RU"/>
        </w:rPr>
        <w:t>;</w:t>
      </w:r>
    </w:p>
    <w:p w14:paraId="317B3F68" w14:textId="5159DFF8" w:rsidR="00D86E36" w:rsidRDefault="00D86E36" w:rsidP="00D86E36">
      <w:pPr>
        <w:spacing w:line="240" w:lineRule="auto"/>
        <w:ind w:right="-610"/>
        <w:jc w:val="both"/>
        <w:rPr>
          <w:sz w:val="20"/>
          <w:szCs w:val="20"/>
        </w:rPr>
      </w:pPr>
      <w:r>
        <w:rPr>
          <w:sz w:val="20"/>
          <w:szCs w:val="20"/>
          <w:lang w:val="ru-RU"/>
        </w:rPr>
        <w:t xml:space="preserve">- </w:t>
      </w:r>
      <w:r w:rsidR="00F52EE1">
        <w:rPr>
          <w:sz w:val="20"/>
          <w:szCs w:val="20"/>
          <w:lang w:val="ru-RU"/>
        </w:rPr>
        <w:t>П</w:t>
      </w:r>
      <w:r>
        <w:rPr>
          <w:sz w:val="20"/>
          <w:szCs w:val="20"/>
          <w:lang w:val="ru-RU"/>
        </w:rPr>
        <w:t>о</w:t>
      </w:r>
      <w:r w:rsidR="00F52EE1">
        <w:rPr>
          <w:sz w:val="20"/>
          <w:szCs w:val="20"/>
          <w:lang w:val="ru-RU"/>
        </w:rPr>
        <w:t xml:space="preserve">вышение узнаваемости Холдинга </w:t>
      </w:r>
      <w:r>
        <w:rPr>
          <w:sz w:val="20"/>
          <w:szCs w:val="20"/>
          <w:lang w:val="ru-RU"/>
        </w:rPr>
        <w:t>Т1 как современной компании и влиятельного игрока ИТ-рынка</w:t>
      </w:r>
      <w:r w:rsidRPr="00E35979">
        <w:rPr>
          <w:sz w:val="20"/>
          <w:szCs w:val="20"/>
        </w:rPr>
        <w:t>;</w:t>
      </w:r>
    </w:p>
    <w:p w14:paraId="01C99B5E" w14:textId="4BF0999D" w:rsidR="00F52EE1" w:rsidRDefault="00F52EE1" w:rsidP="00F52EE1">
      <w:pPr>
        <w:spacing w:line="240" w:lineRule="auto"/>
        <w:ind w:right="-610"/>
        <w:jc w:val="both"/>
        <w:rPr>
          <w:sz w:val="20"/>
          <w:szCs w:val="20"/>
        </w:rPr>
      </w:pPr>
      <w:r>
        <w:rPr>
          <w:sz w:val="20"/>
          <w:szCs w:val="20"/>
          <w:lang w:val="ru-RU"/>
        </w:rPr>
        <w:t xml:space="preserve">- Анализ </w:t>
      </w:r>
      <w:r>
        <w:rPr>
          <w:sz w:val="20"/>
          <w:szCs w:val="20"/>
          <w:lang w:val="en-US"/>
        </w:rPr>
        <w:t>TOV</w:t>
      </w:r>
      <w:r>
        <w:rPr>
          <w:sz w:val="20"/>
          <w:szCs w:val="20"/>
          <w:lang w:val="ru-RU"/>
        </w:rPr>
        <w:t xml:space="preserve"> </w:t>
      </w:r>
      <w:r w:rsidR="008E4A78">
        <w:rPr>
          <w:sz w:val="20"/>
          <w:szCs w:val="20"/>
          <w:lang w:val="ru-RU"/>
        </w:rPr>
        <w:t xml:space="preserve">во </w:t>
      </w:r>
      <w:r>
        <w:rPr>
          <w:sz w:val="20"/>
          <w:szCs w:val="20"/>
          <w:lang w:val="ru-RU"/>
        </w:rPr>
        <w:t>внешних коммуникациях Холдинга Т1 и текущей медиа повестки</w:t>
      </w:r>
      <w:r w:rsidRPr="00E35979">
        <w:rPr>
          <w:sz w:val="20"/>
          <w:szCs w:val="20"/>
        </w:rPr>
        <w:t>;</w:t>
      </w:r>
    </w:p>
    <w:p w14:paraId="1EEB517F" w14:textId="77777777" w:rsidR="00D86E36" w:rsidRPr="00F52EE1" w:rsidRDefault="00D86E36" w:rsidP="00E35979">
      <w:pPr>
        <w:ind w:right="-610"/>
        <w:jc w:val="both"/>
        <w:rPr>
          <w:b/>
          <w:sz w:val="20"/>
          <w:szCs w:val="20"/>
        </w:rPr>
      </w:pPr>
    </w:p>
    <w:p w14:paraId="00000010" w14:textId="41ED38E2" w:rsidR="00532A53" w:rsidRDefault="001F37C5" w:rsidP="00E35979">
      <w:pPr>
        <w:ind w:right="-610"/>
        <w:jc w:val="both"/>
        <w:rPr>
          <w:sz w:val="20"/>
          <w:szCs w:val="20"/>
        </w:rPr>
      </w:pPr>
      <w:r w:rsidRPr="00E35979">
        <w:rPr>
          <w:sz w:val="20"/>
          <w:szCs w:val="20"/>
        </w:rPr>
        <w:t xml:space="preserve">Дополнительную </w:t>
      </w:r>
      <w:r w:rsidR="00074787">
        <w:rPr>
          <w:sz w:val="20"/>
          <w:szCs w:val="20"/>
          <w:lang w:val="ru-RU"/>
        </w:rPr>
        <w:t>информацию</w:t>
      </w:r>
      <w:r w:rsidRPr="00E35979">
        <w:rPr>
          <w:sz w:val="20"/>
          <w:szCs w:val="20"/>
        </w:rPr>
        <w:t xml:space="preserve"> по позиционированию Холдинга Т1</w:t>
      </w:r>
      <w:r w:rsidR="00717467" w:rsidRPr="00E35979">
        <w:rPr>
          <w:sz w:val="20"/>
          <w:szCs w:val="20"/>
          <w:lang w:val="ru-RU"/>
        </w:rPr>
        <w:t xml:space="preserve"> </w:t>
      </w:r>
      <w:r w:rsidR="00717467" w:rsidRPr="00E35979">
        <w:rPr>
          <w:sz w:val="20"/>
          <w:szCs w:val="20"/>
        </w:rPr>
        <w:t xml:space="preserve">и его отдельных </w:t>
      </w:r>
      <w:r w:rsidR="00717467" w:rsidRPr="00E35979">
        <w:rPr>
          <w:sz w:val="20"/>
          <w:szCs w:val="20"/>
          <w:lang w:val="ru-RU"/>
        </w:rPr>
        <w:t>бизнес-направлени</w:t>
      </w:r>
      <w:r w:rsidR="00074787">
        <w:rPr>
          <w:sz w:val="20"/>
          <w:szCs w:val="20"/>
          <w:lang w:val="ru-RU"/>
        </w:rPr>
        <w:t>й</w:t>
      </w:r>
      <w:r w:rsidR="00717467" w:rsidRPr="00E35979">
        <w:rPr>
          <w:sz w:val="20"/>
          <w:szCs w:val="20"/>
          <w:lang w:val="ru-RU"/>
        </w:rPr>
        <w:t>/</w:t>
      </w:r>
      <w:r w:rsidR="00717467" w:rsidRPr="00E35979">
        <w:rPr>
          <w:sz w:val="20"/>
          <w:szCs w:val="20"/>
        </w:rPr>
        <w:t>продуктов/брендов</w:t>
      </w:r>
      <w:r w:rsidRPr="00E35979">
        <w:rPr>
          <w:sz w:val="20"/>
          <w:szCs w:val="20"/>
        </w:rPr>
        <w:t>,</w:t>
      </w:r>
      <w:r w:rsidR="00717467" w:rsidRPr="00E35979">
        <w:rPr>
          <w:sz w:val="20"/>
          <w:szCs w:val="20"/>
          <w:lang w:val="ru-RU"/>
        </w:rPr>
        <w:t xml:space="preserve"> </w:t>
      </w:r>
      <w:r w:rsidRPr="00E35979">
        <w:rPr>
          <w:sz w:val="20"/>
          <w:szCs w:val="20"/>
        </w:rPr>
        <w:t xml:space="preserve">целям и задачам, текущему плану коммуникаций и </w:t>
      </w:r>
      <w:proofErr w:type="spellStart"/>
      <w:r w:rsidRPr="00E35979">
        <w:rPr>
          <w:sz w:val="20"/>
          <w:szCs w:val="20"/>
        </w:rPr>
        <w:t>други</w:t>
      </w:r>
      <w:proofErr w:type="spellEnd"/>
      <w:r w:rsidR="00074787">
        <w:rPr>
          <w:sz w:val="20"/>
          <w:szCs w:val="20"/>
          <w:lang w:val="ru-RU"/>
        </w:rPr>
        <w:t>е</w:t>
      </w:r>
      <w:r w:rsidRPr="00E35979">
        <w:rPr>
          <w:sz w:val="20"/>
          <w:szCs w:val="20"/>
        </w:rPr>
        <w:t xml:space="preserve"> </w:t>
      </w:r>
      <w:r w:rsidR="00074787">
        <w:rPr>
          <w:sz w:val="20"/>
          <w:szCs w:val="20"/>
          <w:lang w:val="ru-RU"/>
        </w:rPr>
        <w:t>данные</w:t>
      </w:r>
      <w:r w:rsidRPr="00E35979">
        <w:rPr>
          <w:sz w:val="20"/>
          <w:szCs w:val="20"/>
        </w:rPr>
        <w:t xml:space="preserve"> </w:t>
      </w:r>
      <w:r w:rsidR="00074787">
        <w:rPr>
          <w:sz w:val="20"/>
          <w:szCs w:val="20"/>
          <w:lang w:val="ru-RU"/>
        </w:rPr>
        <w:t>необходимые</w:t>
      </w:r>
      <w:r w:rsidRPr="00E35979">
        <w:rPr>
          <w:sz w:val="20"/>
          <w:szCs w:val="20"/>
        </w:rPr>
        <w:t xml:space="preserve"> для выполнения задания, можно получить по запросу у представителей пресс-центра.</w:t>
      </w:r>
    </w:p>
    <w:p w14:paraId="1F840AF4" w14:textId="77777777" w:rsidR="0066412F" w:rsidRDefault="0066412F" w:rsidP="00E35979">
      <w:pPr>
        <w:ind w:right="-610"/>
        <w:jc w:val="both"/>
        <w:rPr>
          <w:sz w:val="20"/>
          <w:szCs w:val="20"/>
        </w:rPr>
      </w:pPr>
    </w:p>
    <w:p w14:paraId="64AEAADE" w14:textId="69437322" w:rsidR="0066412F" w:rsidRDefault="0066412F" w:rsidP="0066412F">
      <w:pPr>
        <w:ind w:right="-1"/>
        <w:jc w:val="both"/>
        <w:rPr>
          <w:b/>
          <w:sz w:val="20"/>
          <w:szCs w:val="20"/>
          <w:lang w:val="ru-RU"/>
        </w:rPr>
      </w:pPr>
      <w:r w:rsidRPr="0066412F">
        <w:rPr>
          <w:b/>
          <w:sz w:val="20"/>
          <w:szCs w:val="20"/>
        </w:rPr>
        <w:t>Также необходимо выполнить расчет стоимости тестового задания по форме</w:t>
      </w:r>
      <w:r>
        <w:rPr>
          <w:b/>
          <w:sz w:val="20"/>
          <w:szCs w:val="20"/>
          <w:lang w:val="ru-RU"/>
        </w:rPr>
        <w:t>, указанной ниже:</w:t>
      </w:r>
    </w:p>
    <w:p w14:paraId="5A94F0A2" w14:textId="77777777" w:rsidR="0066412F" w:rsidRDefault="0066412F" w:rsidP="0066412F">
      <w:pPr>
        <w:ind w:right="-1"/>
        <w:jc w:val="both"/>
        <w:rPr>
          <w:b/>
          <w:sz w:val="20"/>
          <w:szCs w:val="20"/>
          <w:lang w:val="ru-RU"/>
        </w:rPr>
      </w:pPr>
    </w:p>
    <w:tbl>
      <w:tblPr>
        <w:tblW w:w="1105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418"/>
        <w:gridCol w:w="2977"/>
        <w:gridCol w:w="1418"/>
        <w:gridCol w:w="1701"/>
        <w:gridCol w:w="1134"/>
        <w:gridCol w:w="850"/>
        <w:gridCol w:w="1560"/>
      </w:tblGrid>
      <w:tr w:rsidR="0066412F" w14:paraId="2F8DBD51" w14:textId="77777777" w:rsidTr="006E7601">
        <w:trPr>
          <w:trHeight w:val="28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CC2E5" w:fill="9CC2E5"/>
            <w:vAlign w:val="center"/>
            <w:hideMark/>
          </w:tcPr>
          <w:p w14:paraId="04D6E0AC" w14:textId="77777777" w:rsidR="0066412F" w:rsidRDefault="0066412F" w:rsidP="0021037E">
            <w:pPr>
              <w:ind w:right="-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CC2E5" w:fill="9CC2E5"/>
            <w:vAlign w:val="center"/>
            <w:hideMark/>
          </w:tcPr>
          <w:p w14:paraId="4275DFCE" w14:textId="77777777" w:rsidR="0066412F" w:rsidRDefault="0066412F" w:rsidP="0021037E">
            <w:pPr>
              <w:ind w:right="-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Статья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CC2E5" w:fill="9CC2E5"/>
            <w:vAlign w:val="center"/>
            <w:hideMark/>
          </w:tcPr>
          <w:p w14:paraId="3F17B9F4" w14:textId="77777777" w:rsidR="0066412F" w:rsidRDefault="0066412F" w:rsidP="0021037E">
            <w:pPr>
              <w:ind w:right="-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Специалист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CC2E5" w:fill="9CC2E5"/>
            <w:vAlign w:val="center"/>
            <w:hideMark/>
          </w:tcPr>
          <w:p w14:paraId="0C45907F" w14:textId="77777777" w:rsidR="0066412F" w:rsidRDefault="0066412F" w:rsidP="0021037E">
            <w:pPr>
              <w:ind w:right="-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Комментарии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CC2E5" w:fill="9CC2E5"/>
            <w:vAlign w:val="center"/>
            <w:hideMark/>
          </w:tcPr>
          <w:p w14:paraId="63C51D38" w14:textId="77777777" w:rsidR="0066412F" w:rsidRDefault="0066412F" w:rsidP="0021037E">
            <w:pPr>
              <w:ind w:right="-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CC2E5" w:fill="9CC2E5"/>
            <w:vAlign w:val="center"/>
            <w:hideMark/>
          </w:tcPr>
          <w:p w14:paraId="1BFED951" w14:textId="77777777" w:rsidR="0066412F" w:rsidRDefault="0066412F" w:rsidP="0021037E">
            <w:pPr>
              <w:ind w:right="-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Кол-во единиц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CC2E5" w:fill="9CC2E5"/>
            <w:vAlign w:val="center"/>
            <w:hideMark/>
          </w:tcPr>
          <w:p w14:paraId="1AE3C874" w14:textId="77777777" w:rsidR="0066412F" w:rsidRDefault="0066412F" w:rsidP="0021037E">
            <w:pPr>
              <w:ind w:right="-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Цена (без НДС), руб.</w:t>
            </w:r>
          </w:p>
        </w:tc>
      </w:tr>
      <w:tr w:rsidR="0066412F" w14:paraId="630D0094" w14:textId="77777777" w:rsidTr="006E7601">
        <w:trPr>
          <w:trHeight w:val="415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CC2E5" w:fill="9CC2E5"/>
            <w:noWrap/>
            <w:vAlign w:val="center"/>
            <w:hideMark/>
          </w:tcPr>
          <w:p w14:paraId="6BA4A896" w14:textId="77777777" w:rsidR="0066412F" w:rsidRDefault="0066412F" w:rsidP="0021037E">
            <w:pPr>
              <w:ind w:right="-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39C41" w14:textId="77777777" w:rsidR="00B42AF0" w:rsidRDefault="00B42AF0" w:rsidP="0021037E">
            <w:pPr>
              <w:ind w:right="-1"/>
              <w:rPr>
                <w:color w:val="000000"/>
                <w:sz w:val="20"/>
                <w:szCs w:val="20"/>
              </w:rPr>
            </w:pPr>
          </w:p>
          <w:p w14:paraId="4DF05B38" w14:textId="77777777" w:rsidR="0066412F" w:rsidRDefault="0066412F" w:rsidP="0021037E">
            <w:pPr>
              <w:ind w:right="-1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Подбор релевантных площадок и разработка тем для участия спикеров Холдинга Т1 в подкастах деловой, технологической и ИТ-тематик</w:t>
            </w:r>
          </w:p>
          <w:p w14:paraId="26E46C5E" w14:textId="6AC99CDC" w:rsidR="00B42AF0" w:rsidRPr="0066412F" w:rsidRDefault="00B42AF0" w:rsidP="0021037E">
            <w:pPr>
              <w:ind w:right="-1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1E1EF4" w14:textId="77777777" w:rsidR="0066412F" w:rsidRDefault="0066412F" w:rsidP="0021037E">
            <w:pPr>
              <w:ind w:right="-1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963116" w14:textId="77777777" w:rsidR="0066412F" w:rsidRDefault="0066412F" w:rsidP="0021037E">
            <w:pPr>
              <w:ind w:right="-1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Стоимость одного часа специалиста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E5E68B" w14:textId="77777777" w:rsidR="0066412F" w:rsidRDefault="0066412F" w:rsidP="0021037E">
            <w:pPr>
              <w:ind w:right="-1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час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CA3C42" w14:textId="77777777" w:rsidR="0066412F" w:rsidRDefault="0066412F" w:rsidP="0021037E">
            <w:pPr>
              <w:ind w:right="-1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76A10A" w14:textId="77777777" w:rsidR="0066412F" w:rsidRDefault="0066412F" w:rsidP="0021037E">
            <w:pPr>
              <w:ind w:right="-1"/>
              <w:jc w:val="center"/>
              <w:rPr>
                <w:b/>
                <w:bCs/>
                <w:color w:val="000000"/>
              </w:rPr>
            </w:pPr>
          </w:p>
        </w:tc>
      </w:tr>
      <w:tr w:rsidR="0066412F" w14:paraId="0C24E5D4" w14:textId="77777777" w:rsidTr="006E7601">
        <w:trPr>
          <w:trHeight w:val="973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9CC2E5" w:fill="9CC2E5"/>
            <w:noWrap/>
            <w:vAlign w:val="center"/>
          </w:tcPr>
          <w:p w14:paraId="04DC2907" w14:textId="77777777" w:rsidR="0066412F" w:rsidRDefault="0066412F" w:rsidP="0021037E">
            <w:pPr>
              <w:ind w:right="-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2B241" w14:textId="77777777" w:rsidR="00835660" w:rsidRDefault="00835660" w:rsidP="0021037E">
            <w:pPr>
              <w:ind w:right="-1"/>
              <w:rPr>
                <w:color w:val="000000"/>
                <w:sz w:val="20"/>
                <w:szCs w:val="20"/>
                <w:lang w:val="ru-RU"/>
              </w:rPr>
            </w:pPr>
          </w:p>
          <w:p w14:paraId="0D1E9D4E" w14:textId="792E775C" w:rsidR="00835660" w:rsidRPr="00835660" w:rsidRDefault="00835660" w:rsidP="0021037E">
            <w:pPr>
              <w:ind w:right="-1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По</w:t>
            </w:r>
            <w:r w:rsidR="00786A32">
              <w:rPr>
                <w:color w:val="000000"/>
                <w:sz w:val="20"/>
                <w:szCs w:val="20"/>
                <w:lang w:val="ru-RU"/>
              </w:rPr>
              <w:t>дбор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потенциальных партнёров для совместных </w:t>
            </w:r>
            <w:r>
              <w:rPr>
                <w:color w:val="000000"/>
                <w:sz w:val="20"/>
                <w:szCs w:val="20"/>
                <w:lang w:val="en-US"/>
              </w:rPr>
              <w:t>PR</w:t>
            </w:r>
            <w:r w:rsidRPr="00835660">
              <w:rPr>
                <w:color w:val="000000"/>
                <w:sz w:val="20"/>
                <w:szCs w:val="20"/>
                <w:lang w:val="ru-RU"/>
              </w:rPr>
              <w:t>-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кампаний, разработка креативных идей в рамках предложенных коллабораций, </w:t>
            </w:r>
            <w:r w:rsidR="00786A32">
              <w:rPr>
                <w:color w:val="000000"/>
                <w:sz w:val="20"/>
                <w:szCs w:val="20"/>
                <w:lang w:val="ru-RU"/>
              </w:rPr>
              <w:t xml:space="preserve">план </w:t>
            </w:r>
            <w:r>
              <w:rPr>
                <w:color w:val="000000"/>
                <w:sz w:val="20"/>
                <w:szCs w:val="20"/>
                <w:lang w:val="ru-RU"/>
              </w:rPr>
              <w:t>реализаци</w:t>
            </w:r>
            <w:r w:rsidR="00786A32">
              <w:rPr>
                <w:color w:val="000000"/>
                <w:sz w:val="20"/>
                <w:szCs w:val="20"/>
                <w:lang w:val="ru-RU"/>
              </w:rPr>
              <w:t>и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и продвижени</w:t>
            </w:r>
            <w:r w:rsidR="00786A32">
              <w:rPr>
                <w:color w:val="000000"/>
                <w:sz w:val="20"/>
                <w:szCs w:val="20"/>
                <w:lang w:val="ru-RU"/>
              </w:rPr>
              <w:t>я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проекта в новых медиа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56FCE" w14:textId="77777777" w:rsidR="0066412F" w:rsidRDefault="0066412F" w:rsidP="0021037E">
            <w:pPr>
              <w:ind w:right="-1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F3410" w14:textId="77777777" w:rsidR="0066412F" w:rsidRDefault="0066412F" w:rsidP="0021037E"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Стоимость одного часа специалиста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1D17CF" w14:textId="77777777" w:rsidR="0066412F" w:rsidRDefault="0066412F" w:rsidP="0021037E"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час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2763C7" w14:textId="77777777" w:rsidR="0066412F" w:rsidRDefault="0066412F" w:rsidP="0021037E"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2B7B45" w14:textId="77777777" w:rsidR="0066412F" w:rsidRDefault="0066412F" w:rsidP="0021037E"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6412F" w14:paraId="56752107" w14:textId="77777777" w:rsidTr="006E7601">
        <w:trPr>
          <w:trHeight w:val="705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9CC2E5" w:fill="9CC2E5"/>
            <w:noWrap/>
            <w:vAlign w:val="center"/>
            <w:hideMark/>
          </w:tcPr>
          <w:p w14:paraId="2809EDF3" w14:textId="4B3AFDE2" w:rsidR="0066412F" w:rsidRPr="00835660" w:rsidRDefault="00835660" w:rsidP="0021037E">
            <w:pPr>
              <w:ind w:right="-1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lastRenderedPageBreak/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0EC6487" w14:textId="75066767" w:rsidR="003A0798" w:rsidRPr="003A0798" w:rsidRDefault="003A0798" w:rsidP="003A0798">
            <w:pPr>
              <w:ind w:right="-1"/>
              <w:rPr>
                <w:color w:val="000000"/>
                <w:sz w:val="20"/>
                <w:szCs w:val="20"/>
              </w:rPr>
            </w:pPr>
            <w:proofErr w:type="spellStart"/>
            <w:r w:rsidRPr="003A0798">
              <w:rPr>
                <w:color w:val="000000"/>
                <w:sz w:val="20"/>
                <w:szCs w:val="20"/>
              </w:rPr>
              <w:t>Разрабо</w:t>
            </w:r>
            <w:r>
              <w:rPr>
                <w:color w:val="000000"/>
                <w:sz w:val="20"/>
                <w:szCs w:val="20"/>
                <w:lang w:val="ru-RU"/>
              </w:rPr>
              <w:t>тка</w:t>
            </w:r>
            <w:proofErr w:type="spellEnd"/>
            <w:r w:rsidRPr="003A079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A0798">
              <w:rPr>
                <w:color w:val="000000"/>
                <w:sz w:val="20"/>
                <w:szCs w:val="20"/>
              </w:rPr>
              <w:t>креативн</w:t>
            </w:r>
            <w:proofErr w:type="spellEnd"/>
            <w:r>
              <w:rPr>
                <w:color w:val="000000"/>
                <w:sz w:val="20"/>
                <w:szCs w:val="20"/>
                <w:lang w:val="ru-RU"/>
              </w:rPr>
              <w:t xml:space="preserve">ой </w:t>
            </w:r>
            <w:proofErr w:type="spellStart"/>
            <w:r w:rsidRPr="003A0798">
              <w:rPr>
                <w:color w:val="000000"/>
                <w:sz w:val="20"/>
                <w:szCs w:val="20"/>
              </w:rPr>
              <w:t>концепци</w:t>
            </w:r>
            <w:proofErr w:type="spellEnd"/>
            <w:r>
              <w:rPr>
                <w:color w:val="000000"/>
                <w:sz w:val="20"/>
                <w:szCs w:val="20"/>
                <w:lang w:val="ru-RU"/>
              </w:rPr>
              <w:t>и</w:t>
            </w:r>
            <w:r w:rsidRPr="003A0798">
              <w:rPr>
                <w:color w:val="000000"/>
                <w:sz w:val="20"/>
                <w:szCs w:val="20"/>
              </w:rPr>
              <w:t xml:space="preserve"> </w:t>
            </w:r>
            <w:r w:rsidR="00F52EE1">
              <w:rPr>
                <w:color w:val="000000"/>
                <w:sz w:val="20"/>
                <w:szCs w:val="20"/>
                <w:lang w:val="ru-RU"/>
              </w:rPr>
              <w:t xml:space="preserve">интегрированной </w:t>
            </w:r>
            <w:r w:rsidRPr="003A0798">
              <w:rPr>
                <w:color w:val="000000"/>
                <w:sz w:val="20"/>
                <w:szCs w:val="20"/>
              </w:rPr>
              <w:t>PR-кампании в формате 360</w:t>
            </w:r>
            <w:r w:rsidR="00835660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="00835660">
              <w:rPr>
                <w:sz w:val="20"/>
                <w:szCs w:val="20"/>
                <w:lang w:val="ru-RU"/>
              </w:rPr>
              <w:t>в рамках одного из ключевых бизнес-мероприятий</w:t>
            </w:r>
            <w:r>
              <w:rPr>
                <w:color w:val="000000"/>
                <w:sz w:val="20"/>
                <w:szCs w:val="20"/>
                <w:lang w:val="ru-RU"/>
              </w:rPr>
              <w:t>, в том числе детальное описание задействованных инструментов и площадок</w:t>
            </w:r>
          </w:p>
          <w:p w14:paraId="1FFA3E8C" w14:textId="4A8D7C75" w:rsidR="0066412F" w:rsidRDefault="0066412F" w:rsidP="0021037E">
            <w:pPr>
              <w:ind w:right="-1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3E4E55" w14:textId="77777777" w:rsidR="0066412F" w:rsidRDefault="0066412F" w:rsidP="0021037E"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14:paraId="17500C0A" w14:textId="77777777" w:rsidR="0066412F" w:rsidRDefault="0066412F" w:rsidP="0021037E"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Стоимость одного часа специалиста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74EAAA74" w14:textId="77777777" w:rsidR="0066412F" w:rsidRDefault="0066412F" w:rsidP="0021037E"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час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699A27A3" w14:textId="77777777" w:rsidR="0066412F" w:rsidRDefault="0066412F" w:rsidP="0021037E"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EF9006" w14:textId="77777777" w:rsidR="0066412F" w:rsidRDefault="0066412F" w:rsidP="0021037E"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</w:tbl>
    <w:p w14:paraId="4C0DB204" w14:textId="77777777" w:rsidR="0066412F" w:rsidRDefault="0066412F" w:rsidP="0066412F">
      <w:pPr>
        <w:jc w:val="both"/>
        <w:rPr>
          <w:sz w:val="20"/>
          <w:szCs w:val="20"/>
        </w:rPr>
      </w:pPr>
    </w:p>
    <w:p w14:paraId="4473284F" w14:textId="77777777" w:rsidR="0066412F" w:rsidRPr="00D71BBD" w:rsidRDefault="0066412F" w:rsidP="0066412F">
      <w:pPr>
        <w:jc w:val="right"/>
        <w:rPr>
          <w:b/>
          <w:bCs/>
          <w:sz w:val="20"/>
          <w:szCs w:val="20"/>
        </w:rPr>
      </w:pPr>
      <w:r w:rsidRPr="00D71BBD">
        <w:rPr>
          <w:b/>
          <w:bCs/>
          <w:sz w:val="20"/>
          <w:szCs w:val="20"/>
        </w:rPr>
        <w:t>ИТОГО:</w:t>
      </w:r>
    </w:p>
    <w:p w14:paraId="215BA741" w14:textId="77777777" w:rsidR="0066412F" w:rsidRPr="0066412F" w:rsidRDefault="0066412F" w:rsidP="0066412F">
      <w:pPr>
        <w:ind w:left="-1068" w:right="-1"/>
        <w:jc w:val="both"/>
        <w:rPr>
          <w:b/>
          <w:sz w:val="20"/>
          <w:szCs w:val="20"/>
          <w:lang w:val="ru-RU"/>
        </w:rPr>
      </w:pPr>
    </w:p>
    <w:p w14:paraId="7D814E88" w14:textId="77777777" w:rsidR="0066412F" w:rsidRPr="00E35979" w:rsidRDefault="0066412F" w:rsidP="00E35979">
      <w:pPr>
        <w:ind w:right="-610"/>
        <w:jc w:val="both"/>
        <w:rPr>
          <w:sz w:val="20"/>
          <w:szCs w:val="20"/>
        </w:rPr>
      </w:pPr>
    </w:p>
    <w:p w14:paraId="00000011" w14:textId="77777777" w:rsidR="00532A53" w:rsidRPr="00E35979" w:rsidRDefault="00532A53" w:rsidP="00E35979">
      <w:pPr>
        <w:ind w:right="-610"/>
        <w:jc w:val="both"/>
        <w:rPr>
          <w:sz w:val="20"/>
          <w:szCs w:val="20"/>
        </w:rPr>
      </w:pPr>
    </w:p>
    <w:sectPr w:rsidR="00532A53" w:rsidRPr="00E3597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30071"/>
    <w:multiLevelType w:val="multilevel"/>
    <w:tmpl w:val="F704E9A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D114E5F"/>
    <w:multiLevelType w:val="multilevel"/>
    <w:tmpl w:val="8B5A6D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DD22883"/>
    <w:multiLevelType w:val="multilevel"/>
    <w:tmpl w:val="F704E9A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DD34F75"/>
    <w:multiLevelType w:val="multilevel"/>
    <w:tmpl w:val="F704E9A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22177B3"/>
    <w:multiLevelType w:val="hybridMultilevel"/>
    <w:tmpl w:val="388E23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CE774E"/>
    <w:multiLevelType w:val="hybridMultilevel"/>
    <w:tmpl w:val="388E23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E876DC"/>
    <w:multiLevelType w:val="multilevel"/>
    <w:tmpl w:val="74B239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5A83139B"/>
    <w:multiLevelType w:val="multilevel"/>
    <w:tmpl w:val="258E31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1D034F0"/>
    <w:multiLevelType w:val="hybridMultilevel"/>
    <w:tmpl w:val="388E2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DE5514"/>
    <w:multiLevelType w:val="multilevel"/>
    <w:tmpl w:val="258E31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9"/>
  </w:num>
  <w:num w:numId="6">
    <w:abstractNumId w:val="3"/>
  </w:num>
  <w:num w:numId="7">
    <w:abstractNumId w:val="8"/>
  </w:num>
  <w:num w:numId="8">
    <w:abstractNumId w:val="7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A53"/>
    <w:rsid w:val="00074787"/>
    <w:rsid w:val="000D7541"/>
    <w:rsid w:val="00175078"/>
    <w:rsid w:val="001D3C94"/>
    <w:rsid w:val="001D57D7"/>
    <w:rsid w:val="001F37C5"/>
    <w:rsid w:val="00226661"/>
    <w:rsid w:val="00260AC3"/>
    <w:rsid w:val="00272227"/>
    <w:rsid w:val="002C7A64"/>
    <w:rsid w:val="00371741"/>
    <w:rsid w:val="00380ADF"/>
    <w:rsid w:val="003A0798"/>
    <w:rsid w:val="00532A53"/>
    <w:rsid w:val="00600BAA"/>
    <w:rsid w:val="006528FE"/>
    <w:rsid w:val="0066412F"/>
    <w:rsid w:val="006E7601"/>
    <w:rsid w:val="00717467"/>
    <w:rsid w:val="00777F23"/>
    <w:rsid w:val="00786A32"/>
    <w:rsid w:val="007B66AB"/>
    <w:rsid w:val="0083303A"/>
    <w:rsid w:val="00835660"/>
    <w:rsid w:val="008E4A78"/>
    <w:rsid w:val="0098423B"/>
    <w:rsid w:val="00A4270D"/>
    <w:rsid w:val="00A9140E"/>
    <w:rsid w:val="00B42AF0"/>
    <w:rsid w:val="00BE3599"/>
    <w:rsid w:val="00C50C1D"/>
    <w:rsid w:val="00C83BBF"/>
    <w:rsid w:val="00D86E36"/>
    <w:rsid w:val="00E35979"/>
    <w:rsid w:val="00EF6344"/>
    <w:rsid w:val="00F52EE1"/>
    <w:rsid w:val="00F5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FE844"/>
  <w15:docId w15:val="{AFAAB9A9-A694-8149-8E8D-AF7632948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E35979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F37C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F37C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1F37C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F37C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1F37C5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F37C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F37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Агафьева Анастасия Сергеевна</dc:creator>
  <cp:lastModifiedBy>Мануилов Владимир Юрьевич</cp:lastModifiedBy>
  <cp:revision>3</cp:revision>
  <dcterms:created xsi:type="dcterms:W3CDTF">2024-09-10T07:41:00Z</dcterms:created>
  <dcterms:modified xsi:type="dcterms:W3CDTF">2024-09-10T08:00:00Z</dcterms:modified>
</cp:coreProperties>
</file>