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0F077CEE" w:rsidR="00E85F88" w:rsidRPr="00581429" w:rsidRDefault="009021B0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C16334">
              <w:rPr>
                <w:rStyle w:val="a4"/>
                <w:rFonts w:cs="Arial"/>
                <w:sz w:val="24"/>
                <w:szCs w:val="24"/>
              </w:rPr>
              <w:t>VBlinova</w:t>
            </w:r>
            <w:hyperlink r:id="rId9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gramStart"/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gram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9339519" w14:textId="36A6A1ED" w:rsidR="00162C49" w:rsidRPr="00162C49" w:rsidRDefault="00E85F88" w:rsidP="00162C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162C49">
              <w:rPr>
                <w:rFonts w:cs="Arial"/>
                <w:b/>
                <w:sz w:val="24"/>
                <w:szCs w:val="24"/>
              </w:rPr>
              <w:t>на</w:t>
            </w:r>
            <w:r w:rsidR="00162C49" w:rsidRPr="00162C49">
              <w:rPr>
                <w:rFonts w:cs="Arial"/>
                <w:b/>
                <w:sz w:val="24"/>
                <w:szCs w:val="24"/>
              </w:rPr>
              <w:t xml:space="preserve"> организаци</w:t>
            </w:r>
            <w:r w:rsidR="00162C49">
              <w:rPr>
                <w:rFonts w:cs="Arial"/>
                <w:b/>
                <w:sz w:val="24"/>
                <w:szCs w:val="24"/>
              </w:rPr>
              <w:t xml:space="preserve">ю </w:t>
            </w:r>
            <w:r w:rsidR="00162C49" w:rsidRPr="00162C49">
              <w:rPr>
                <w:rFonts w:cs="Arial"/>
                <w:b/>
                <w:sz w:val="24"/>
                <w:szCs w:val="24"/>
              </w:rPr>
              <w:t xml:space="preserve">конференции </w:t>
            </w:r>
          </w:p>
          <w:p w14:paraId="769D9C59" w14:textId="0DE900F9" w:rsidR="00E85F88" w:rsidRPr="00581429" w:rsidRDefault="00162C49" w:rsidP="00162C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162C49">
              <w:rPr>
                <w:rFonts w:cs="Arial"/>
                <w:b/>
                <w:sz w:val="24"/>
                <w:szCs w:val="24"/>
              </w:rPr>
              <w:t>«Импульс Т1», с последующей реализацией в Москве, 28-29 ноября 2024.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7B3AA642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C16334">
              <w:rPr>
                <w:rStyle w:val="a4"/>
                <w:rFonts w:cstheme="minorBidi"/>
                <w:sz w:val="22"/>
                <w:szCs w:val="22"/>
              </w:rPr>
              <w:t>(</w:t>
            </w:r>
            <w:r w:rsidR="009021B0" w:rsidRPr="00C16334">
              <w:rPr>
                <w:rStyle w:val="a4"/>
                <w:rFonts w:cstheme="minorBidi"/>
                <w:sz w:val="22"/>
                <w:szCs w:val="22"/>
              </w:rPr>
              <w:t>https://business.roseltorg.ru/</w:t>
            </w:r>
            <w:r w:rsidRPr="00C16334">
              <w:rPr>
                <w:rStyle w:val="a4"/>
                <w:rFonts w:cstheme="minorBidi"/>
                <w:sz w:val="22"/>
                <w:szCs w:val="22"/>
              </w:rPr>
              <w:t>)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010EC028" w14:textId="19CE56FC" w:rsidR="00162C49" w:rsidRDefault="00162C49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62C49">
              <w:rPr>
                <w:rFonts w:cs="Arial"/>
                <w:sz w:val="24"/>
                <w:szCs w:val="24"/>
                <w:highlight w:val="yellow"/>
              </w:rPr>
              <w:t xml:space="preserve">Внимание, в рамках запроса предусмотрен общий </w:t>
            </w:r>
            <w:proofErr w:type="spellStart"/>
            <w:r w:rsidRPr="00162C49">
              <w:rPr>
                <w:rFonts w:cs="Arial"/>
                <w:sz w:val="24"/>
                <w:szCs w:val="24"/>
                <w:highlight w:val="yellow"/>
              </w:rPr>
              <w:t>добрифинг</w:t>
            </w:r>
            <w:proofErr w:type="spellEnd"/>
            <w:r w:rsidRPr="00162C49">
              <w:rPr>
                <w:rFonts w:cs="Arial"/>
                <w:sz w:val="24"/>
                <w:szCs w:val="24"/>
                <w:highlight w:val="yellow"/>
              </w:rPr>
              <w:t xml:space="preserve"> участников 24.07.2024 в 15-00 </w:t>
            </w:r>
            <w:proofErr w:type="spellStart"/>
            <w:r w:rsidRPr="00162C49">
              <w:rPr>
                <w:rFonts w:cs="Arial"/>
                <w:sz w:val="24"/>
                <w:szCs w:val="24"/>
                <w:highlight w:val="yellow"/>
              </w:rPr>
              <w:t>мск</w:t>
            </w:r>
            <w:proofErr w:type="spellEnd"/>
            <w:r w:rsidRPr="00162C49">
              <w:rPr>
                <w:rFonts w:cs="Arial"/>
                <w:sz w:val="24"/>
                <w:szCs w:val="24"/>
                <w:highlight w:val="yellow"/>
              </w:rPr>
              <w:t xml:space="preserve">. Для участия в </w:t>
            </w:r>
            <w:proofErr w:type="spellStart"/>
            <w:r w:rsidRPr="00162C49">
              <w:rPr>
                <w:rFonts w:cs="Arial"/>
                <w:sz w:val="24"/>
                <w:szCs w:val="24"/>
                <w:highlight w:val="yellow"/>
              </w:rPr>
              <w:t>добрифинге</w:t>
            </w:r>
            <w:proofErr w:type="spellEnd"/>
            <w:r w:rsidRPr="00162C49">
              <w:rPr>
                <w:rFonts w:cs="Arial"/>
                <w:sz w:val="24"/>
                <w:szCs w:val="24"/>
                <w:highlight w:val="yellow"/>
              </w:rPr>
              <w:t xml:space="preserve">, необходимо прислать запрос на </w:t>
            </w:r>
            <w:proofErr w:type="spellStart"/>
            <w:r w:rsidRPr="00162C49">
              <w:rPr>
                <w:rStyle w:val="a4"/>
                <w:rFonts w:cs="Arial"/>
                <w:sz w:val="24"/>
                <w:szCs w:val="24"/>
                <w:highlight w:val="yellow"/>
              </w:rPr>
              <w:t>VBlinova</w:t>
            </w:r>
            <w:hyperlink r:id="rId10" w:history="1">
              <w:r w:rsidRPr="00162C49">
                <w:rPr>
                  <w:rStyle w:val="a4"/>
                  <w:rFonts w:cs="Arial"/>
                  <w:sz w:val="24"/>
                  <w:szCs w:val="24"/>
                  <w:highlight w:val="yellow"/>
                </w:rPr>
                <w:t>@</w:t>
              </w:r>
              <w:proofErr w:type="gramStart"/>
              <w:r w:rsidRPr="00162C49">
                <w:rPr>
                  <w:rStyle w:val="a4"/>
                  <w:rFonts w:cs="Arial"/>
                  <w:sz w:val="24"/>
                  <w:szCs w:val="24"/>
                  <w:highlight w:val="yellow"/>
                </w:rPr>
                <w:t>inno.tech</w:t>
              </w:r>
              <w:proofErr w:type="spellEnd"/>
              <w:proofErr w:type="gramEnd"/>
            </w:hyperlink>
          </w:p>
          <w:p w14:paraId="49B35E8C" w14:textId="244B8A8B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4A9B5D16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3865D82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2D5AF90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0EFB34D5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9C4793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r w:rsidR="009021B0" w:rsidRPr="008E6073">
              <w:rPr>
                <w:rFonts w:cs="Arial"/>
                <w:sz w:val="24"/>
                <w:szCs w:val="24"/>
              </w:rPr>
              <w:t xml:space="preserve">– </w:t>
            </w:r>
            <w:r w:rsidR="00162C49">
              <w:rPr>
                <w:rFonts w:cs="Arial"/>
                <w:sz w:val="24"/>
                <w:szCs w:val="24"/>
              </w:rPr>
              <w:t>4</w:t>
            </w:r>
            <w:r w:rsidR="009021B0" w:rsidRPr="008E6073">
              <w:rPr>
                <w:rFonts w:cs="Arial"/>
                <w:sz w:val="24"/>
                <w:szCs w:val="24"/>
              </w:rPr>
              <w:t>0</w:t>
            </w:r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1B89EEC0" w14:textId="0408A7AD" w:rsidR="009021B0" w:rsidRDefault="009021B0" w:rsidP="00902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 xml:space="preserve">– </w:t>
            </w:r>
            <w:r w:rsidR="00162C49">
              <w:rPr>
                <w:rFonts w:cs="Arial"/>
                <w:sz w:val="24"/>
                <w:szCs w:val="24"/>
              </w:rPr>
              <w:t>6</w:t>
            </w:r>
            <w:r w:rsidRPr="008E6073">
              <w:rPr>
                <w:rFonts w:cs="Arial"/>
                <w:sz w:val="24"/>
                <w:szCs w:val="24"/>
              </w:rPr>
              <w:t>0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% </w:t>
            </w:r>
          </w:p>
          <w:p w14:paraId="29771AB7" w14:textId="5948A68F" w:rsidR="009021B0" w:rsidRDefault="009021B0" w:rsidP="00902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32AB21C" w14:textId="5C694914" w:rsidR="009021B0" w:rsidRDefault="009021B0" w:rsidP="009021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Критерии оценки не стоимостных показателей</w:t>
            </w:r>
            <w:r w:rsidRPr="00C16334">
              <w:rPr>
                <w:rFonts w:cs="Arial"/>
                <w:sz w:val="24"/>
                <w:szCs w:val="24"/>
              </w:rPr>
              <w:t>:</w:t>
            </w:r>
          </w:p>
          <w:p w14:paraId="1DB2A086" w14:textId="3C629182" w:rsidR="00162C49" w:rsidRPr="00162C49" w:rsidRDefault="00162C49" w:rsidP="00162C49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162C49">
              <w:rPr>
                <w:rFonts w:ascii="Arial" w:hAnsi="Arial"/>
              </w:rPr>
              <w:t xml:space="preserve">Концепция мероприятия </w:t>
            </w:r>
          </w:p>
          <w:p w14:paraId="08EF7F23" w14:textId="48263AB7" w:rsidR="00162C49" w:rsidRPr="00162C49" w:rsidRDefault="00162C49" w:rsidP="00162C49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162C49">
              <w:rPr>
                <w:rFonts w:ascii="Arial" w:hAnsi="Arial"/>
              </w:rPr>
              <w:t>Площадка проведения мероприятия</w:t>
            </w:r>
          </w:p>
          <w:p w14:paraId="21D0ED14" w14:textId="0213A13F" w:rsidR="00162C49" w:rsidRPr="00162C49" w:rsidRDefault="00162C49" w:rsidP="00162C49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162C49">
              <w:rPr>
                <w:rFonts w:ascii="Arial" w:hAnsi="Arial"/>
              </w:rPr>
              <w:t>Креативная составляющая</w:t>
            </w:r>
          </w:p>
          <w:p w14:paraId="6723DB06" w14:textId="77777777" w:rsidR="00162C49" w:rsidRPr="00162C49" w:rsidRDefault="00162C49" w:rsidP="00162C49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162C49">
              <w:rPr>
                <w:rFonts w:ascii="Arial" w:hAnsi="Arial"/>
              </w:rPr>
              <w:t xml:space="preserve">Организация деловой программы </w:t>
            </w:r>
          </w:p>
          <w:p w14:paraId="57392CBF" w14:textId="5EFF892F" w:rsidR="00162C49" w:rsidRPr="00162C49" w:rsidRDefault="00162C49" w:rsidP="00162C49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162C49">
              <w:rPr>
                <w:rFonts w:ascii="Arial" w:hAnsi="Arial"/>
              </w:rPr>
              <w:t>Полиграфия и сувенирная продукция</w:t>
            </w:r>
          </w:p>
          <w:p w14:paraId="51C69D06" w14:textId="55E49735" w:rsidR="009021B0" w:rsidRPr="00162C49" w:rsidRDefault="00162C49" w:rsidP="00162C49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162C49">
              <w:rPr>
                <w:rFonts w:ascii="Arial" w:hAnsi="Arial"/>
              </w:rPr>
              <w:t>Организация питания</w:t>
            </w:r>
          </w:p>
          <w:p w14:paraId="76ADF0B9" w14:textId="77777777" w:rsidR="009021B0" w:rsidRPr="00C16334" w:rsidRDefault="009021B0" w:rsidP="00C16334">
            <w:pPr>
              <w:pStyle w:val="a9"/>
              <w:spacing w:after="0" w:line="240" w:lineRule="auto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4DC6FAA" w14:textId="77777777" w:rsidR="008E6073" w:rsidRPr="008E6073" w:rsidRDefault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760E1411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7E59826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E0ACDD5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9021B0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D7C69D4" w:rsidR="005C4B30" w:rsidRPr="005C4B30" w:rsidRDefault="0071569D" w:rsidP="00C16334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28BCD4A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</w:t>
            </w:r>
            <w:r w:rsidR="00162C49">
              <w:rPr>
                <w:rFonts w:cs="Arial"/>
                <w:sz w:val="24"/>
                <w:szCs w:val="24"/>
              </w:rPr>
              <w:t>Шаблон договора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CA70E32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569E3D69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D3609F" w:rsidRPr="008E6073" w14:paraId="53F8255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A46179" w14:textId="77777777" w:rsidR="00D3609F" w:rsidRPr="008E6073" w:rsidRDefault="00D3609F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D3C0E2A" w14:textId="4A5EF99A" w:rsidR="00D3609F" w:rsidRDefault="00D3609F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9. </w:t>
            </w:r>
            <w:r w:rsidR="00162C49">
              <w:rPr>
                <w:rFonts w:cs="Arial"/>
                <w:sz w:val="24"/>
                <w:szCs w:val="24"/>
              </w:rPr>
              <w:t>Креативная концепция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7A46AB81" w14:textId="78996C35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16334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C16334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16334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30D912A2" w:rsidR="00AE0A7E" w:rsidRPr="00730B6B" w:rsidRDefault="009021B0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3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887B79C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364996D4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>
        <w:rPr>
          <w:rFonts w:ascii="Arial" w:hAnsi="Arial" w:cs="Arial"/>
          <w:b/>
          <w:sz w:val="24"/>
          <w:szCs w:val="24"/>
        </w:rPr>
        <w:t xml:space="preserve"> </w:t>
      </w:r>
      <w:r w:rsidR="009021B0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6CFC0A3D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 w:rsidRPr="00C240D2">
        <w:rPr>
          <w:rFonts w:ascii="Arial" w:hAnsi="Arial" w:cs="Arial"/>
          <w:sz w:val="24"/>
          <w:szCs w:val="24"/>
        </w:rPr>
        <w:t xml:space="preserve"> </w:t>
      </w:r>
      <w:r w:rsidR="009021B0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1C7E3FD4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 w:rsidRPr="00C240D2">
        <w:rPr>
          <w:rFonts w:ascii="Arial" w:hAnsi="Arial" w:cs="Arial"/>
          <w:sz w:val="24"/>
          <w:szCs w:val="24"/>
        </w:rPr>
        <w:t xml:space="preserve"> </w:t>
      </w:r>
      <w:r w:rsidR="009021B0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41F46B1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 w:rsidRPr="00C240D2">
        <w:rPr>
          <w:rFonts w:ascii="Arial" w:hAnsi="Arial" w:cs="Arial"/>
          <w:sz w:val="24"/>
          <w:szCs w:val="24"/>
        </w:rPr>
        <w:t xml:space="preserve"> </w:t>
      </w:r>
      <w:r w:rsidR="009021B0" w:rsidRPr="00C1633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8E2877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r w:rsidR="009021B0" w:rsidRPr="00C240D2">
        <w:rPr>
          <w:rFonts w:ascii="Arial" w:hAnsi="Arial" w:cs="Arial"/>
          <w:b/>
          <w:sz w:val="24"/>
          <w:szCs w:val="24"/>
        </w:rPr>
        <w:t>:</w:t>
      </w:r>
      <w:r w:rsidR="009021B0" w:rsidRPr="00C240D2">
        <w:rPr>
          <w:rFonts w:ascii="Arial" w:hAnsi="Arial" w:cs="Arial"/>
          <w:sz w:val="24"/>
          <w:szCs w:val="24"/>
        </w:rPr>
        <w:t xml:space="preserve"> </w:t>
      </w:r>
      <w:r w:rsidR="009021B0" w:rsidRPr="00C1633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13CA01C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53C0C5F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4D658154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0C46888E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D75C87C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E326E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0AD1132D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E326E9" w:rsidRPr="00BE269B">
        <w:rPr>
          <w:rFonts w:ascii="Arial" w:hAnsi="Arial" w:cs="Arial"/>
          <w:b/>
          <w:sz w:val="24"/>
          <w:szCs w:val="24"/>
        </w:rPr>
        <w:t>:</w:t>
      </w:r>
      <w:r w:rsidR="00E326E9" w:rsidRPr="00B60140">
        <w:rPr>
          <w:rFonts w:ascii="Arial" w:hAnsi="Arial" w:cs="Arial"/>
          <w:sz w:val="24"/>
          <w:szCs w:val="24"/>
        </w:rPr>
        <w:t xml:space="preserve"> </w:t>
      </w:r>
      <w:r w:rsidR="00E326E9" w:rsidRPr="00E326E9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865"/>
        <w:gridCol w:w="1763"/>
        <w:gridCol w:w="2871"/>
      </w:tblGrid>
      <w:tr w:rsidR="00C240D2" w:rsidRPr="001D0638" w14:paraId="73D550D5" w14:textId="77777777" w:rsidTr="00C16334"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865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87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C16334"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14:paraId="43557B4A" w14:textId="29462FDF" w:rsidR="00C240D2" w:rsidRPr="00C16334" w:rsidRDefault="00C240D2" w:rsidP="00BD75A0">
            <w:pPr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E5679">
              <w:rPr>
                <w:rFonts w:ascii="Arial" w:hAnsi="Arial" w:cs="Arial"/>
                <w:color w:val="000000" w:themeColor="text1"/>
                <w:sz w:val="20"/>
                <w:szCs w:val="24"/>
              </w:rPr>
              <w:t>8</w:t>
            </w:r>
            <w:r w:rsidR="00E326E9"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>0</w:t>
            </w:r>
            <w:r w:rsidRPr="00C16334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млн. руб. 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3D31075B" w14:textId="517A635A" w:rsidR="00C240D2" w:rsidRPr="001D0638" w:rsidRDefault="00152D15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Бухгалтерский баланс за последний отчетный период с доказательством получения налоговым органом.</w:t>
            </w:r>
          </w:p>
        </w:tc>
      </w:tr>
      <w:tr w:rsidR="00C240D2" w:rsidRPr="001D0638" w14:paraId="6C2A4CBA" w14:textId="77777777" w:rsidTr="00C16334"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  <w:shd w:val="clear" w:color="auto" w:fill="auto"/>
          </w:tcPr>
          <w:p w14:paraId="490B680A" w14:textId="1EAF722A" w:rsidR="00C240D2" w:rsidRPr="00C16334" w:rsidRDefault="00E326E9" w:rsidP="00E326E9">
            <w:pPr>
              <w:rPr>
                <w:rFonts w:ascii="Arial" w:hAnsi="Arial" w:cs="Arial"/>
                <w:sz w:val="20"/>
                <w:szCs w:val="24"/>
              </w:rPr>
            </w:pPr>
            <w:r w:rsidRPr="00C16334">
              <w:rPr>
                <w:rFonts w:ascii="Arial" w:hAnsi="Arial" w:cs="Arial"/>
                <w:sz w:val="20"/>
                <w:szCs w:val="24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1763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70DD12E2" w14:textId="7DE961F2" w:rsidR="00C240D2" w:rsidRPr="001D0638" w:rsidRDefault="00152D15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Свидетельство ОГРН</w:t>
            </w:r>
          </w:p>
        </w:tc>
      </w:tr>
      <w:tr w:rsidR="00C240D2" w:rsidRPr="001D0638" w14:paraId="4F28C737" w14:textId="77777777" w:rsidTr="00C16334"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  <w:shd w:val="clear" w:color="auto" w:fill="auto"/>
          </w:tcPr>
          <w:p w14:paraId="651EB04C" w14:textId="118DA984" w:rsidR="00C240D2" w:rsidRPr="00C16334" w:rsidRDefault="00C240D2" w:rsidP="00BD75A0">
            <w:pPr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>Согласие с условиями проекта договора</w:t>
            </w:r>
            <w:r w:rsidR="00817EC0"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Заказчика</w:t>
            </w:r>
            <w:r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в полном объеме</w:t>
            </w:r>
            <w:r w:rsidR="00817EC0" w:rsidRPr="00C16334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Подтверждается заполненным и подписанным Приложением</w:t>
            </w:r>
            <w:r w:rsidR="00817EC0"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1D0638" w14:paraId="0DC2DCD8" w14:textId="77777777" w:rsidTr="00C16334">
        <w:tc>
          <w:tcPr>
            <w:tcW w:w="702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  <w:shd w:val="clear" w:color="auto" w:fill="auto"/>
          </w:tcPr>
          <w:p w14:paraId="141717B4" w14:textId="77777777" w:rsidR="00C240D2" w:rsidRDefault="00CE5679" w:rsidP="00CE5679">
            <w:pPr>
              <w:rPr>
                <w:rFonts w:ascii="Arial" w:hAnsi="Arial" w:cs="Arial"/>
                <w:sz w:val="20"/>
                <w:szCs w:val="24"/>
              </w:rPr>
            </w:pPr>
            <w:r w:rsidRPr="00CE5679">
              <w:rPr>
                <w:rFonts w:ascii="Arial" w:hAnsi="Arial" w:cs="Arial"/>
                <w:sz w:val="20"/>
                <w:szCs w:val="24"/>
              </w:rPr>
              <w:t>Участник подтверждает опыт работы с крупными российскими компаниями (штат более 1000 чел.) и реализации бизнес проектов/конференций высокого уровня (с участием топ-менеджмента компаний-заказчиков и деловой программой).</w:t>
            </w:r>
          </w:p>
          <w:p w14:paraId="518D3D2A" w14:textId="296B4A88" w:rsidR="00CE5679" w:rsidRPr="00C16334" w:rsidRDefault="00CE5679" w:rsidP="00CE567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18123689" w14:textId="478A0998" w:rsidR="00C240D2" w:rsidRPr="001D0638" w:rsidRDefault="00CE5679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CE5679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(Предоставить не менее 3-х кейсов Портфолио с кратким описанием мероприятий и заполненную форму «EXCEL» форма КП №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6</w:t>
            </w:r>
            <w:r w:rsidRPr="00CE5679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 (Информационной карты)</w:t>
            </w:r>
          </w:p>
        </w:tc>
      </w:tr>
      <w:tr w:rsidR="00395477" w:rsidRPr="001D0638" w14:paraId="637572B7" w14:textId="77777777" w:rsidTr="00C16334">
        <w:tc>
          <w:tcPr>
            <w:tcW w:w="702" w:type="dxa"/>
            <w:shd w:val="clear" w:color="auto" w:fill="auto"/>
          </w:tcPr>
          <w:p w14:paraId="6D49CE0A" w14:textId="563E4935" w:rsidR="00395477" w:rsidRPr="001D0638" w:rsidRDefault="0039547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5" w:type="dxa"/>
            <w:shd w:val="clear" w:color="auto" w:fill="auto"/>
          </w:tcPr>
          <w:p w14:paraId="43725982" w14:textId="67B5F8B1" w:rsidR="00395477" w:rsidRPr="00CE5679" w:rsidRDefault="00395477" w:rsidP="00CE5679">
            <w:pPr>
              <w:rPr>
                <w:rFonts w:ascii="Arial" w:hAnsi="Arial" w:cs="Arial"/>
                <w:sz w:val="20"/>
                <w:szCs w:val="24"/>
              </w:rPr>
            </w:pPr>
            <w:r w:rsidRPr="00395477">
              <w:rPr>
                <w:rFonts w:ascii="Arial" w:hAnsi="Arial" w:cs="Arial"/>
                <w:sz w:val="20"/>
                <w:szCs w:val="24"/>
              </w:rPr>
              <w:t xml:space="preserve">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</w:t>
            </w:r>
            <w:r w:rsidRPr="00395477">
              <w:rPr>
                <w:rFonts w:ascii="Arial" w:hAnsi="Arial" w:cs="Arial"/>
                <w:sz w:val="20"/>
                <w:szCs w:val="24"/>
              </w:rPr>
              <w:lastRenderedPageBreak/>
              <w:t>России), НАОМ (Национальная Ассоциация Организаторов Мероприятий), РЕМА (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Russian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Event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Marketing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Association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>) на дату подачи заявки на участие в закупке, не менее 1 подтвержденного членства</w:t>
            </w:r>
          </w:p>
        </w:tc>
        <w:tc>
          <w:tcPr>
            <w:tcW w:w="1763" w:type="dxa"/>
            <w:shd w:val="clear" w:color="auto" w:fill="auto"/>
          </w:tcPr>
          <w:p w14:paraId="14E09E14" w14:textId="77777777" w:rsidR="00395477" w:rsidRPr="001D0638" w:rsidRDefault="0039547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081D348B" w14:textId="603E6F3C" w:rsidR="00395477" w:rsidRPr="00CE5679" w:rsidRDefault="00395477" w:rsidP="00BD75A0">
            <w:pP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</w:pPr>
            <w:r w:rsidRPr="00395477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Предоставить скан, скрин, ссылку</w:t>
            </w:r>
          </w:p>
        </w:tc>
      </w:tr>
      <w:tr w:rsidR="00395477" w:rsidRPr="001D0638" w14:paraId="2148C81F" w14:textId="77777777" w:rsidTr="00C16334">
        <w:tc>
          <w:tcPr>
            <w:tcW w:w="702" w:type="dxa"/>
            <w:shd w:val="clear" w:color="auto" w:fill="auto"/>
          </w:tcPr>
          <w:p w14:paraId="3C8D4C1B" w14:textId="2E8B4C20" w:rsidR="00395477" w:rsidRPr="001D0638" w:rsidRDefault="0039547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5" w:type="dxa"/>
            <w:shd w:val="clear" w:color="auto" w:fill="auto"/>
          </w:tcPr>
          <w:p w14:paraId="13AD7177" w14:textId="5DB78A36" w:rsidR="00395477" w:rsidRPr="00CE5679" w:rsidRDefault="00395477" w:rsidP="00CE5679">
            <w:pPr>
              <w:rPr>
                <w:rFonts w:ascii="Arial" w:hAnsi="Arial" w:cs="Arial"/>
                <w:sz w:val="20"/>
                <w:szCs w:val="24"/>
              </w:rPr>
            </w:pPr>
            <w:r w:rsidRPr="00395477">
              <w:rPr>
                <w:rFonts w:ascii="Arial" w:hAnsi="Arial" w:cs="Arial"/>
                <w:sz w:val="20"/>
                <w:szCs w:val="24"/>
              </w:rPr>
              <w:t>Копии дипломов и/или сертификатов, подтверждающих наличие у участника закупки призовых мест (не ниже III-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го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01.01.2017 по дату окончания срока подачи заявок на участие в закупке: конкурс «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Event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-агентство, сертифицированное АКМР», премия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Best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Experience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Marketing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Awards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, премия «Событие года»,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EuBea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Festival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Global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Event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Awards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, Золотой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Пазл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Event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>-прорыв, Серебряный меркурий.</w:t>
            </w:r>
          </w:p>
        </w:tc>
        <w:tc>
          <w:tcPr>
            <w:tcW w:w="1763" w:type="dxa"/>
            <w:shd w:val="clear" w:color="auto" w:fill="auto"/>
          </w:tcPr>
          <w:p w14:paraId="7FE6AAE8" w14:textId="77777777" w:rsidR="00395477" w:rsidRPr="001D0638" w:rsidRDefault="00395477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4F378DD3" w14:textId="0A3E6A08" w:rsidR="00395477" w:rsidRPr="00CE5679" w:rsidRDefault="00395477" w:rsidP="00BD75A0">
            <w:pP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</w:pPr>
            <w:r w:rsidRPr="00395477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Предоставить скан, скрин, ссылку</w:t>
            </w:r>
          </w:p>
        </w:tc>
      </w:tr>
      <w:tr w:rsidR="00152D15" w:rsidRPr="001D0638" w14:paraId="69A25B99" w14:textId="77777777" w:rsidTr="00152D15">
        <w:tc>
          <w:tcPr>
            <w:tcW w:w="702" w:type="dxa"/>
            <w:shd w:val="clear" w:color="auto" w:fill="auto"/>
          </w:tcPr>
          <w:p w14:paraId="19EB7E84" w14:textId="36B45093" w:rsidR="00152D15" w:rsidRPr="001D0638" w:rsidRDefault="0039547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65" w:type="dxa"/>
            <w:shd w:val="clear" w:color="auto" w:fill="auto"/>
          </w:tcPr>
          <w:p w14:paraId="7A61567B" w14:textId="51DC1E14" w:rsidR="00152D15" w:rsidRPr="00152D15" w:rsidRDefault="00152D15" w:rsidP="00152D1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Участник предоставляет коммерческое предложение</w:t>
            </w:r>
            <w:r w:rsidR="00395477"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="00395477" w:rsidRPr="00395477">
              <w:rPr>
                <w:rFonts w:ascii="Arial" w:hAnsi="Arial" w:cs="Arial"/>
                <w:sz w:val="20"/>
                <w:szCs w:val="24"/>
              </w:rPr>
              <w:t xml:space="preserve">Смета учитывает все предложенные в </w:t>
            </w:r>
            <w:proofErr w:type="gramStart"/>
            <w:r w:rsidR="00395477" w:rsidRPr="00395477">
              <w:rPr>
                <w:rFonts w:ascii="Arial" w:hAnsi="Arial" w:cs="Arial"/>
                <w:sz w:val="20"/>
                <w:szCs w:val="24"/>
              </w:rPr>
              <w:t>концепции  (</w:t>
            </w:r>
            <w:proofErr w:type="gramEnd"/>
            <w:r w:rsidR="00395477" w:rsidRPr="00395477">
              <w:rPr>
                <w:rFonts w:ascii="Arial" w:hAnsi="Arial" w:cs="Arial"/>
                <w:sz w:val="20"/>
                <w:szCs w:val="24"/>
              </w:rPr>
              <w:t>презентации) креативные идеи</w:t>
            </w:r>
            <w:r w:rsidR="00395477">
              <w:rPr>
                <w:rFonts w:ascii="Arial" w:hAnsi="Arial" w:cs="Arial"/>
                <w:sz w:val="20"/>
                <w:szCs w:val="24"/>
              </w:rPr>
              <w:t xml:space="preserve">, активности </w:t>
            </w:r>
            <w:r w:rsidR="00395477" w:rsidRPr="00395477">
              <w:rPr>
                <w:rFonts w:ascii="Arial" w:hAnsi="Arial" w:cs="Arial"/>
                <w:sz w:val="20"/>
                <w:szCs w:val="24"/>
              </w:rPr>
              <w:t>и укладывается в обозначенный в закупочной процедуре лимит не более 61 млн. до НДС</w:t>
            </w:r>
          </w:p>
        </w:tc>
        <w:tc>
          <w:tcPr>
            <w:tcW w:w="1763" w:type="dxa"/>
            <w:shd w:val="clear" w:color="auto" w:fill="auto"/>
          </w:tcPr>
          <w:p w14:paraId="033FA64C" w14:textId="77777777" w:rsidR="00152D15" w:rsidRPr="001D0638" w:rsidRDefault="00152D15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5506B129" w14:textId="406E1C57" w:rsidR="00152D15" w:rsidRDefault="00152D15" w:rsidP="00BD75A0">
            <w:pP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По форме Заказчика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(Приложение №6 Информационной карты).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 </w:t>
            </w:r>
          </w:p>
          <w:p w14:paraId="1A0878F0" w14:textId="798E48CD" w:rsidR="00395477" w:rsidRDefault="00152D15" w:rsidP="00BD75A0">
            <w:pP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</w:pPr>
            <w:r w:rsidRPr="00C16334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>Важно!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                                1.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Предложение должно полностью соответствовать предложенной креативной концепции. Все доп. услуги должны быть выделены и не входить в основную сумму предложения.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2.</w:t>
            </w:r>
            <w:r w:rsidR="00395477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Быть строго до 61 млн. без НДС</w:t>
            </w:r>
          </w:p>
          <w:p w14:paraId="3BDB5D98" w14:textId="6F4B3A0C" w:rsidR="00152D15" w:rsidRPr="00152D15" w:rsidRDefault="0039547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3.</w:t>
            </w:r>
            <w:r w:rsidR="00152D15"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 Если участник предлагает на оценку несколько </w:t>
            </w:r>
            <w:r w:rsidR="00AF421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вариантов </w:t>
            </w:r>
            <w:r w:rsidR="00152D15"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концепций мероприятия, то предложений должно быть такое же количество.</w:t>
            </w:r>
            <w:r w:rsidR="00152D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375A2" w:rsidRPr="001D0638" w14:paraId="5FCF15F0" w14:textId="77777777" w:rsidTr="00152D15">
        <w:tc>
          <w:tcPr>
            <w:tcW w:w="702" w:type="dxa"/>
            <w:shd w:val="clear" w:color="auto" w:fill="auto"/>
          </w:tcPr>
          <w:p w14:paraId="2A670E08" w14:textId="0F9C827F" w:rsidR="00D375A2" w:rsidRDefault="00395477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  <w:shd w:val="clear" w:color="auto" w:fill="auto"/>
          </w:tcPr>
          <w:p w14:paraId="4E9212B6" w14:textId="336C3B32" w:rsidR="00D375A2" w:rsidRPr="00D375A2" w:rsidRDefault="00395477" w:rsidP="00152D15">
            <w:pPr>
              <w:rPr>
                <w:rFonts w:ascii="Arial" w:hAnsi="Arial" w:cs="Arial"/>
                <w:sz w:val="20"/>
                <w:szCs w:val="24"/>
              </w:rPr>
            </w:pPr>
            <w:r w:rsidRPr="00395477">
              <w:rPr>
                <w:rFonts w:ascii="Arial" w:hAnsi="Arial" w:cs="Arial"/>
                <w:sz w:val="20"/>
                <w:szCs w:val="24"/>
              </w:rPr>
              <w:t>Кадровые ресурсы для реализации мероприятия</w:t>
            </w:r>
            <w:r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Pr="00395477">
              <w:rPr>
                <w:rFonts w:ascii="Arial" w:hAnsi="Arial" w:cs="Arial"/>
                <w:sz w:val="20"/>
                <w:szCs w:val="24"/>
              </w:rPr>
              <w:t xml:space="preserve">Персонал включен в сметный </w:t>
            </w:r>
            <w:proofErr w:type="gramStart"/>
            <w:r w:rsidRPr="00395477">
              <w:rPr>
                <w:rFonts w:ascii="Arial" w:hAnsi="Arial" w:cs="Arial"/>
                <w:sz w:val="20"/>
                <w:szCs w:val="24"/>
              </w:rPr>
              <w:t>расчет :</w:t>
            </w:r>
            <w:proofErr w:type="gramEnd"/>
            <w:r w:rsidRPr="00395477">
              <w:rPr>
                <w:rFonts w:ascii="Arial" w:hAnsi="Arial" w:cs="Arial"/>
                <w:sz w:val="20"/>
                <w:szCs w:val="24"/>
              </w:rPr>
              <w:t xml:space="preserve">- минимум 1(один)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senior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account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395477">
              <w:rPr>
                <w:rFonts w:ascii="Arial" w:hAnsi="Arial" w:cs="Arial"/>
                <w:sz w:val="20"/>
                <w:szCs w:val="24"/>
              </w:rPr>
              <w:t>manager</w:t>
            </w:r>
            <w:proofErr w:type="spellEnd"/>
            <w:r w:rsidRPr="00395477">
              <w:rPr>
                <w:rFonts w:ascii="Arial" w:hAnsi="Arial" w:cs="Arial"/>
                <w:sz w:val="20"/>
                <w:szCs w:val="24"/>
              </w:rPr>
              <w:t xml:space="preserve"> для полноценной коммуникации с Заказчиком на всех этапах проекта;- арт-директор;- креативный директор;- дизайнер;- технический директор.</w:t>
            </w:r>
          </w:p>
        </w:tc>
        <w:tc>
          <w:tcPr>
            <w:tcW w:w="1763" w:type="dxa"/>
            <w:shd w:val="clear" w:color="auto" w:fill="auto"/>
          </w:tcPr>
          <w:p w14:paraId="54E4A6BC" w14:textId="77777777" w:rsidR="00D375A2" w:rsidRPr="001D0638" w:rsidRDefault="00D375A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14:paraId="26376A0F" w14:textId="77777777" w:rsidR="00395477" w:rsidRDefault="00395477" w:rsidP="00395477">
            <w:pP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</w:pP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По форме Заказчика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334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(Приложение №6 Информационной карты).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 xml:space="preserve"> </w:t>
            </w:r>
          </w:p>
          <w:p w14:paraId="62DD533C" w14:textId="6F573066" w:rsidR="00D375A2" w:rsidRPr="00C16334" w:rsidRDefault="00395477" w:rsidP="00BD75A0">
            <w:pPr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</w:pPr>
            <w:bookmarkStart w:id="2" w:name="_GoBack"/>
            <w:bookmarkEnd w:id="2"/>
            <w:r w:rsidRPr="00395477">
              <w:rPr>
                <w:rFonts w:ascii="Arial" w:hAnsi="Arial" w:cs="Arial"/>
                <w:i/>
                <w:color w:val="000000" w:themeColor="text1"/>
                <w:sz w:val="20"/>
                <w:szCs w:val="24"/>
              </w:rPr>
              <w:t>наличие в смете указанных позиций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4EAE0D6E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152D15" w:rsidRPr="003E50A3">
        <w:rPr>
          <w:rFonts w:ascii="Arial" w:hAnsi="Arial" w:cs="Arial"/>
          <w:sz w:val="24"/>
          <w:szCs w:val="24"/>
        </w:rPr>
        <w:t xml:space="preserve">: </w:t>
      </w:r>
      <w:r w:rsidR="00152D15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46469E5F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152D15" w:rsidRPr="003E50A3">
        <w:rPr>
          <w:rFonts w:ascii="Arial" w:hAnsi="Arial" w:cs="Arial"/>
          <w:b/>
          <w:sz w:val="24"/>
          <w:szCs w:val="24"/>
        </w:rPr>
        <w:t>:</w:t>
      </w:r>
      <w:r w:rsidR="00152D15" w:rsidRPr="003E50A3">
        <w:rPr>
          <w:rFonts w:ascii="Arial" w:hAnsi="Arial" w:cs="Arial"/>
          <w:sz w:val="24"/>
          <w:szCs w:val="24"/>
        </w:rPr>
        <w:t xml:space="preserve"> </w:t>
      </w:r>
      <w:r w:rsidR="00152D15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2C177426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152D15" w:rsidRPr="003E50A3">
        <w:rPr>
          <w:rFonts w:ascii="Arial" w:hAnsi="Arial" w:cs="Arial"/>
          <w:b/>
          <w:sz w:val="24"/>
          <w:szCs w:val="24"/>
        </w:rPr>
        <w:t>:</w:t>
      </w:r>
      <w:r w:rsidR="00152D15" w:rsidRPr="003E50A3">
        <w:rPr>
          <w:rFonts w:ascii="Arial" w:hAnsi="Arial" w:cs="Arial"/>
          <w:sz w:val="24"/>
          <w:szCs w:val="24"/>
        </w:rPr>
        <w:t xml:space="preserve"> </w:t>
      </w:r>
      <w:r w:rsidR="00152D15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CAD466C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152D15" w:rsidRPr="003E50A3">
        <w:rPr>
          <w:rFonts w:ascii="Arial" w:hAnsi="Arial" w:cs="Arial"/>
          <w:b/>
          <w:sz w:val="24"/>
          <w:szCs w:val="24"/>
        </w:rPr>
        <w:t>:</w:t>
      </w:r>
      <w:r w:rsidR="00152D15" w:rsidRPr="003E50A3">
        <w:rPr>
          <w:rFonts w:ascii="Arial" w:hAnsi="Arial" w:cs="Arial"/>
          <w:sz w:val="24"/>
          <w:szCs w:val="24"/>
        </w:rPr>
        <w:t xml:space="preserve"> </w:t>
      </w:r>
      <w:r w:rsidR="00152D15" w:rsidRPr="00C1633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BC4BCC1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152D15" w:rsidRPr="003E50A3">
        <w:rPr>
          <w:rFonts w:ascii="Arial" w:hAnsi="Arial" w:cs="Arial"/>
          <w:b/>
          <w:sz w:val="24"/>
          <w:szCs w:val="24"/>
        </w:rPr>
        <w:t>:</w:t>
      </w:r>
      <w:r w:rsidR="00152D15" w:rsidRPr="003E50A3">
        <w:rPr>
          <w:rFonts w:ascii="Arial" w:hAnsi="Arial" w:cs="Arial"/>
          <w:sz w:val="24"/>
          <w:szCs w:val="24"/>
        </w:rPr>
        <w:t xml:space="preserve"> </w:t>
      </w:r>
      <w:r w:rsidR="00152D15" w:rsidRPr="00C16334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16334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9021B0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9021B0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9021B0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9021B0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9021B0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9021B0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9021B0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9021B0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9021B0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9021B0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9021B0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9021B0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9021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162C49" w:rsidRDefault="00162C49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162C49" w:rsidRDefault="0016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62C49" w:rsidRPr="00F56C11" w:rsidRDefault="00162C49" w:rsidP="00C240D2">
    <w:sdt>
      <w:sdtPr>
        <w:id w:val="-1925946265"/>
        <w:docPartObj>
          <w:docPartGallery w:val="Page Numbers (Bottom of Page)"/>
          <w:docPartUnique/>
        </w:docPartObj>
      </w:sdtPr>
      <w:sdtContent>
        <w:r w:rsidRPr="00F56C11">
          <w:fldChar w:fldCharType="begin"/>
        </w:r>
        <w:r w:rsidRPr="00F56C11">
          <w:instrText>PAGE   \* MERGEFORMAT</w:instrText>
        </w:r>
        <w:r w:rsidRPr="00F56C11">
          <w:fldChar w:fldCharType="separate"/>
        </w:r>
        <w:r w:rsidRPr="00F56C11">
          <w:t>2</w:t>
        </w:r>
        <w:r w:rsidRPr="00F56C11">
          <w:fldChar w:fldCharType="end"/>
        </w:r>
      </w:sdtContent>
    </w:sdt>
    <w:r w:rsidRPr="00F56C11">
      <w:t xml:space="preserve"> </w:t>
    </w:r>
  </w:p>
  <w:p w14:paraId="6EF5EEEF" w14:textId="77777777" w:rsidR="00162C49" w:rsidRDefault="00162C49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62C49" w:rsidRPr="00536897" w:rsidRDefault="00162C49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162C49" w:rsidRDefault="00162C49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162C49" w:rsidRDefault="00162C49">
      <w:pPr>
        <w:spacing w:after="0" w:line="240" w:lineRule="auto"/>
      </w:pPr>
      <w:r>
        <w:continuationSeparator/>
      </w:r>
    </w:p>
  </w:footnote>
  <w:footnote w:id="1">
    <w:p w14:paraId="4CA1B5E8" w14:textId="77777777" w:rsidR="00162C49" w:rsidRDefault="00162C49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162C49" w:rsidRPr="00986725" w:rsidRDefault="00162C49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162C49" w:rsidRDefault="00162C49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62C49" w:rsidRDefault="00162C49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62C49" w:rsidRDefault="00162C49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62C49" w:rsidRDefault="00162C49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1FB7342"/>
    <w:multiLevelType w:val="hybridMultilevel"/>
    <w:tmpl w:val="1B8ACB28"/>
    <w:lvl w:ilvl="0" w:tplc="58DED9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8B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E0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C1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CA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4295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ED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A8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AD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271D8"/>
    <w:multiLevelType w:val="hybridMultilevel"/>
    <w:tmpl w:val="3F3072FC"/>
    <w:lvl w:ilvl="0" w:tplc="0B5057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6392"/>
    <w:multiLevelType w:val="hybridMultilevel"/>
    <w:tmpl w:val="514E9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52D15"/>
    <w:rsid w:val="00162C49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6445"/>
    <w:rsid w:val="00277B71"/>
    <w:rsid w:val="002A5840"/>
    <w:rsid w:val="00313085"/>
    <w:rsid w:val="00334E74"/>
    <w:rsid w:val="00352359"/>
    <w:rsid w:val="0035246E"/>
    <w:rsid w:val="00370C00"/>
    <w:rsid w:val="003902FD"/>
    <w:rsid w:val="00395477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021B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1CC9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AF4214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16334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E5679"/>
    <w:rsid w:val="00CF0468"/>
    <w:rsid w:val="00CF613F"/>
    <w:rsid w:val="00D04491"/>
    <w:rsid w:val="00D25D87"/>
    <w:rsid w:val="00D30434"/>
    <w:rsid w:val="00D3609F"/>
    <w:rsid w:val="00D375A2"/>
    <w:rsid w:val="00D46A7A"/>
    <w:rsid w:val="00D53870"/>
    <w:rsid w:val="00D53B3D"/>
    <w:rsid w:val="00D7409F"/>
    <w:rsid w:val="00D861BB"/>
    <w:rsid w:val="00D865BE"/>
    <w:rsid w:val="00D94ED2"/>
    <w:rsid w:val="00DA4BDE"/>
    <w:rsid w:val="00E326E9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9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t1.ru/complian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iance@t1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1.ru/purchases/principl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kupki@inno.te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D127-5751-445D-B30C-BBED7ACA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19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Мануилов Владимир Юрьевич</cp:lastModifiedBy>
  <cp:revision>19</cp:revision>
  <dcterms:created xsi:type="dcterms:W3CDTF">2024-04-23T13:05:00Z</dcterms:created>
  <dcterms:modified xsi:type="dcterms:W3CDTF">2024-07-18T11:53:00Z</dcterms:modified>
</cp:coreProperties>
</file>