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06645DC5" w:rsidR="00E85F88" w:rsidRPr="00581429" w:rsidRDefault="00C576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0C20BB">
                <w:rPr>
                  <w:rStyle w:val="a4"/>
                  <w:rFonts w:cs="Arial"/>
                  <w:sz w:val="24"/>
                  <w:szCs w:val="24"/>
                  <w:lang w:val="en-US"/>
                </w:rPr>
                <w:t>vmanuilov</w:t>
              </w:r>
              <w:r w:rsidR="000C20BB" w:rsidRPr="00581429">
                <w:rPr>
                  <w:rStyle w:val="a4"/>
                  <w:rFonts w:cs="Arial"/>
                  <w:sz w:val="24"/>
                  <w:szCs w:val="24"/>
                </w:rPr>
                <w:t>@</w:t>
              </w:r>
              <w:proofErr w:type="spellStart"/>
              <w:r w:rsidR="000C20BB" w:rsidRPr="00581429">
                <w:rPr>
                  <w:rStyle w:val="a4"/>
                  <w:rFonts w:cs="Arial"/>
                  <w:sz w:val="24"/>
                  <w:szCs w:val="24"/>
                </w:rPr>
                <w:t>inno.tech</w:t>
              </w:r>
              <w:proofErr w:type="spellEnd"/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5B346AD7" w:rsidR="00E85F88" w:rsidRPr="000C20BB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 xml:space="preserve">Запрос предложений </w:t>
            </w:r>
            <w:r w:rsidR="00EB424B">
              <w:rPr>
                <w:rFonts w:cs="Arial"/>
                <w:b/>
                <w:sz w:val="24"/>
                <w:szCs w:val="24"/>
              </w:rPr>
              <w:t>на</w:t>
            </w:r>
            <w:r w:rsidR="00EB424B" w:rsidRPr="00EB424B">
              <w:rPr>
                <w:rFonts w:cs="Arial"/>
                <w:b/>
                <w:sz w:val="24"/>
                <w:szCs w:val="24"/>
              </w:rPr>
              <w:t xml:space="preserve"> подбор респондентов для Холдинга Т1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3BF352B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C20BB">
              <w:rPr>
                <w:rFonts w:cs="Arial"/>
                <w:i/>
                <w:color w:val="FF0000"/>
                <w:sz w:val="24"/>
                <w:szCs w:val="24"/>
              </w:rPr>
              <w:t>Росэлторг</w:t>
            </w:r>
            <w:proofErr w:type="spellEnd"/>
            <w:r w:rsidR="000C20BB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68F047D6" w14:textId="77777777" w:rsidR="000C20BB" w:rsidRDefault="00AF0239" w:rsidP="000C20B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6500BB4D" w:rsidR="008E6073" w:rsidRPr="008E6073" w:rsidRDefault="008E6073" w:rsidP="000C20B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76D04C49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proofErr w:type="gramStart"/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;</w:t>
            </w:r>
            <w:proofErr w:type="gramEnd"/>
          </w:p>
          <w:p w14:paraId="74A079F0" w14:textId="3A399FE0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2A5840">
              <w:rPr>
                <w:rFonts w:cs="Arial"/>
                <w:sz w:val="24"/>
                <w:szCs w:val="24"/>
              </w:rPr>
              <w:t xml:space="preserve"> 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3BCB8C1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46EE7DD9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EB424B">
              <w:rPr>
                <w:rFonts w:cs="Arial"/>
                <w:b/>
                <w:sz w:val="24"/>
                <w:szCs w:val="24"/>
              </w:rPr>
              <w:t>8</w:t>
            </w:r>
            <w:r w:rsidR="004E0372">
              <w:rPr>
                <w:rFonts w:cs="Arial"/>
                <w:b/>
                <w:sz w:val="24"/>
                <w:szCs w:val="24"/>
              </w:rPr>
              <w:t>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78CEBE38" w14:textId="3B899564" w:rsidR="000C20BB" w:rsidRDefault="008E6073" w:rsidP="000C20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proofErr w:type="spellStart"/>
            <w:r w:rsidRPr="008E6073">
              <w:rPr>
                <w:rFonts w:cs="Arial"/>
                <w:sz w:val="24"/>
                <w:szCs w:val="24"/>
              </w:rPr>
              <w:t>Нестоимостные</w:t>
            </w:r>
            <w:proofErr w:type="spellEnd"/>
            <w:r w:rsidRPr="008E6073">
              <w:rPr>
                <w:rFonts w:cs="Arial"/>
                <w:sz w:val="24"/>
                <w:szCs w:val="24"/>
              </w:rPr>
              <w:t xml:space="preserve"> критерии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EB424B">
              <w:rPr>
                <w:rFonts w:cs="Arial"/>
                <w:b/>
                <w:sz w:val="24"/>
                <w:szCs w:val="24"/>
              </w:rPr>
              <w:t>2</w:t>
            </w:r>
            <w:r w:rsidR="000C20BB">
              <w:rPr>
                <w:rFonts w:cs="Arial"/>
                <w:b/>
                <w:sz w:val="24"/>
                <w:szCs w:val="24"/>
              </w:rPr>
              <w:t>0</w:t>
            </w:r>
            <w:proofErr w:type="gramEnd"/>
            <w:r w:rsidRPr="008E6073">
              <w:rPr>
                <w:rFonts w:cs="Arial"/>
                <w:sz w:val="24"/>
                <w:szCs w:val="24"/>
              </w:rPr>
              <w:t xml:space="preserve"> % </w:t>
            </w:r>
          </w:p>
          <w:p w14:paraId="4A443D81" w14:textId="36F86C29" w:rsidR="00EB424B" w:rsidRPr="00EB424B" w:rsidRDefault="00EB424B" w:rsidP="00EB424B">
            <w:pPr>
              <w:pStyle w:val="a9"/>
              <w:numPr>
                <w:ilvl w:val="0"/>
                <w:numId w:val="10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i/>
              </w:rPr>
            </w:pPr>
            <w:r w:rsidRPr="00EB424B">
              <w:rPr>
                <w:rFonts w:ascii="Arial" w:hAnsi="Arial"/>
                <w:i/>
              </w:rPr>
              <w:lastRenderedPageBreak/>
              <w:t>Личный кабинет Заказчика</w:t>
            </w:r>
          </w:p>
          <w:p w14:paraId="595999AD" w14:textId="300BA84C" w:rsidR="00EB424B" w:rsidRPr="00EB424B" w:rsidRDefault="00EB424B" w:rsidP="00EB424B">
            <w:pPr>
              <w:pStyle w:val="a9"/>
              <w:numPr>
                <w:ilvl w:val="0"/>
                <w:numId w:val="10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i/>
              </w:rPr>
            </w:pPr>
            <w:r w:rsidRPr="00EB424B">
              <w:rPr>
                <w:rFonts w:ascii="Arial" w:hAnsi="Arial"/>
                <w:i/>
              </w:rPr>
              <w:t>Форма отправки Заказа на рекрутинг</w:t>
            </w:r>
          </w:p>
          <w:p w14:paraId="64DC6FAA" w14:textId="29CDDB0F" w:rsidR="008E6073" w:rsidRPr="008E6073" w:rsidRDefault="008E6073" w:rsidP="00EB42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Сумма весов критериев равна 100%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2E646DB2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0C20B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1E5E48FF" w:rsidR="005C4B30" w:rsidRPr="005C4B30" w:rsidRDefault="00F06049" w:rsidP="000C20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5D8C06CC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E6073">
              <w:rPr>
                <w:rFonts w:cs="Arial"/>
                <w:sz w:val="24"/>
                <w:szCs w:val="24"/>
              </w:rPr>
              <w:t xml:space="preserve">/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 xml:space="preserve">оговора Участника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5FED9AEC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125077F7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0ACA0236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персональных данных  </w:t>
            </w:r>
          </w:p>
        </w:tc>
      </w:tr>
      <w:tr w:rsidR="008576C0" w:rsidRPr="008E6073" w14:paraId="44E2A002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89308C2" w14:textId="77777777" w:rsidR="008576C0" w:rsidRPr="008E6073" w:rsidRDefault="008576C0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BC3E2DB" w14:textId="3C203E64" w:rsidR="008576C0" w:rsidRPr="008E6073" w:rsidRDefault="008576C0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8. </w:t>
            </w:r>
            <w:r w:rsidRPr="00C32015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  <w:tr w:rsidR="008E6073" w:rsidRPr="008E6073" w14:paraId="5C49F26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070116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57AB0D" w14:textId="34170850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C32015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630DC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C32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58DF3B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5EFB8CE5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3B9496E1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45F3555B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5EF992BE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5E818048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4428BF4F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37292795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77A58C13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686DD266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6221BA14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02E9DB94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7ACF9C8C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167B3DB8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1D1A9E3A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00D553D6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349DB806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007ACD9A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0E870EA9" w14:textId="21A98C5F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>Приложение 3</w:t>
      </w:r>
    </w:p>
    <w:p w14:paraId="2DD1F6B5" w14:textId="46EB343F" w:rsidR="00C0311D" w:rsidRDefault="00C0311D" w:rsidP="00C0311D">
      <w:pPr>
        <w:rPr>
          <w:rFonts w:ascii="Arial" w:hAnsi="Arial" w:cs="Arial"/>
          <w:i/>
          <w:color w:val="FF0000"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  <w:r w:rsidRPr="00C0311D">
        <w:rPr>
          <w:rFonts w:ascii="Arial" w:hAnsi="Arial" w:cs="Arial"/>
          <w:b/>
          <w:sz w:val="24"/>
          <w:szCs w:val="24"/>
        </w:rPr>
        <w:t xml:space="preserve">/ </w:t>
      </w:r>
      <w:r>
        <w:rPr>
          <w:rFonts w:ascii="Arial" w:hAnsi="Arial" w:cs="Arial"/>
          <w:b/>
          <w:sz w:val="24"/>
          <w:szCs w:val="24"/>
        </w:rPr>
        <w:t xml:space="preserve">ПРОЕКТ ДОГОВОРА </w:t>
      </w:r>
      <w:r w:rsidRPr="00C0311D">
        <w:rPr>
          <w:rFonts w:ascii="Arial" w:hAnsi="Arial" w:cs="Arial"/>
          <w:b/>
          <w:sz w:val="24"/>
          <w:szCs w:val="24"/>
        </w:rPr>
        <w:t xml:space="preserve">УЧАСТНИКА </w:t>
      </w:r>
    </w:p>
    <w:p w14:paraId="484027FB" w14:textId="604AB2E1" w:rsidR="00EB424B" w:rsidRDefault="00EB424B" w:rsidP="00C0311D">
      <w:pPr>
        <w:rPr>
          <w:rFonts w:ascii="Arial" w:hAnsi="Arial" w:cs="Arial"/>
          <w:b/>
          <w:color w:val="FF0000"/>
          <w:sz w:val="24"/>
          <w:szCs w:val="24"/>
        </w:rPr>
      </w:pPr>
    </w:p>
    <w:p w14:paraId="2CBD54C1" w14:textId="766942FB" w:rsidR="00EB424B" w:rsidRDefault="00EB424B" w:rsidP="00C0311D">
      <w:pPr>
        <w:rPr>
          <w:rFonts w:ascii="Arial" w:hAnsi="Arial" w:cs="Arial"/>
          <w:b/>
          <w:color w:val="FF0000"/>
          <w:sz w:val="24"/>
          <w:szCs w:val="24"/>
        </w:rPr>
      </w:pPr>
    </w:p>
    <w:p w14:paraId="3F3B9357" w14:textId="6B9049B1" w:rsidR="00EB424B" w:rsidRDefault="00EB424B" w:rsidP="00C0311D">
      <w:pPr>
        <w:rPr>
          <w:rFonts w:ascii="Arial" w:hAnsi="Arial" w:cs="Arial"/>
          <w:b/>
          <w:color w:val="FF0000"/>
          <w:sz w:val="24"/>
          <w:szCs w:val="24"/>
        </w:rPr>
      </w:pPr>
    </w:p>
    <w:p w14:paraId="19680A62" w14:textId="4763077A" w:rsidR="00EB424B" w:rsidRDefault="00EB424B" w:rsidP="00C0311D">
      <w:pPr>
        <w:rPr>
          <w:rFonts w:ascii="Arial" w:hAnsi="Arial" w:cs="Arial"/>
          <w:b/>
          <w:color w:val="FF0000"/>
          <w:sz w:val="24"/>
          <w:szCs w:val="24"/>
        </w:rPr>
      </w:pPr>
    </w:p>
    <w:p w14:paraId="3D229DCD" w14:textId="740C8A13" w:rsidR="00EB424B" w:rsidRDefault="00EB424B" w:rsidP="00C0311D">
      <w:pPr>
        <w:rPr>
          <w:rFonts w:ascii="Arial" w:hAnsi="Arial" w:cs="Arial"/>
          <w:b/>
          <w:color w:val="FF0000"/>
          <w:sz w:val="24"/>
          <w:szCs w:val="24"/>
        </w:rPr>
      </w:pPr>
    </w:p>
    <w:p w14:paraId="2019FB7B" w14:textId="1FD16BD6" w:rsidR="00EB424B" w:rsidRDefault="00EB424B" w:rsidP="00C0311D">
      <w:pPr>
        <w:rPr>
          <w:rFonts w:ascii="Arial" w:hAnsi="Arial" w:cs="Arial"/>
          <w:b/>
          <w:color w:val="FF0000"/>
          <w:sz w:val="24"/>
          <w:szCs w:val="24"/>
        </w:rPr>
      </w:pPr>
    </w:p>
    <w:p w14:paraId="4022B587" w14:textId="0E9ACC25" w:rsidR="00EB424B" w:rsidRDefault="00EB424B" w:rsidP="00C0311D">
      <w:pPr>
        <w:rPr>
          <w:rFonts w:ascii="Arial" w:hAnsi="Arial" w:cs="Arial"/>
          <w:b/>
          <w:color w:val="FF0000"/>
          <w:sz w:val="24"/>
          <w:szCs w:val="24"/>
        </w:rPr>
      </w:pPr>
    </w:p>
    <w:p w14:paraId="63966195" w14:textId="1B2A8F89" w:rsidR="00EB424B" w:rsidRDefault="00EB424B" w:rsidP="00C0311D">
      <w:pPr>
        <w:rPr>
          <w:rFonts w:ascii="Arial" w:hAnsi="Arial" w:cs="Arial"/>
          <w:b/>
          <w:color w:val="FF0000"/>
          <w:sz w:val="24"/>
          <w:szCs w:val="24"/>
        </w:rPr>
      </w:pPr>
    </w:p>
    <w:p w14:paraId="4AD13EA7" w14:textId="585D7C3C" w:rsidR="00EB424B" w:rsidRDefault="00EB424B" w:rsidP="00C0311D">
      <w:pPr>
        <w:rPr>
          <w:rFonts w:ascii="Arial" w:hAnsi="Arial" w:cs="Arial"/>
          <w:b/>
          <w:color w:val="FF0000"/>
          <w:sz w:val="24"/>
          <w:szCs w:val="24"/>
        </w:rPr>
      </w:pPr>
    </w:p>
    <w:p w14:paraId="1573F566" w14:textId="1C99F73D" w:rsidR="00EB424B" w:rsidRDefault="00EB424B" w:rsidP="00C0311D">
      <w:pPr>
        <w:rPr>
          <w:rFonts w:ascii="Arial" w:hAnsi="Arial" w:cs="Arial"/>
          <w:b/>
          <w:color w:val="FF0000"/>
          <w:sz w:val="24"/>
          <w:szCs w:val="24"/>
        </w:rPr>
      </w:pPr>
    </w:p>
    <w:p w14:paraId="59AEA6F1" w14:textId="1C4745D8" w:rsidR="00EB424B" w:rsidRDefault="00EB424B" w:rsidP="00C0311D">
      <w:pPr>
        <w:rPr>
          <w:rFonts w:ascii="Arial" w:hAnsi="Arial" w:cs="Arial"/>
          <w:b/>
          <w:color w:val="FF0000"/>
          <w:sz w:val="24"/>
          <w:szCs w:val="24"/>
        </w:rPr>
      </w:pPr>
    </w:p>
    <w:p w14:paraId="754F1E39" w14:textId="774757BB" w:rsidR="00EB424B" w:rsidRDefault="00EB424B" w:rsidP="00C0311D">
      <w:pPr>
        <w:rPr>
          <w:rFonts w:ascii="Arial" w:hAnsi="Arial" w:cs="Arial"/>
          <w:b/>
          <w:color w:val="FF0000"/>
          <w:sz w:val="24"/>
          <w:szCs w:val="24"/>
        </w:rPr>
      </w:pPr>
    </w:p>
    <w:p w14:paraId="06FD97D9" w14:textId="49B71D7F" w:rsidR="00EB424B" w:rsidRDefault="00EB424B" w:rsidP="00C0311D">
      <w:pPr>
        <w:rPr>
          <w:rFonts w:ascii="Arial" w:hAnsi="Arial" w:cs="Arial"/>
          <w:b/>
          <w:color w:val="FF0000"/>
          <w:sz w:val="24"/>
          <w:szCs w:val="24"/>
        </w:rPr>
      </w:pPr>
    </w:p>
    <w:p w14:paraId="10F37DC9" w14:textId="682D4A07" w:rsidR="00EB424B" w:rsidRDefault="00EB424B" w:rsidP="00C0311D">
      <w:pPr>
        <w:rPr>
          <w:rFonts w:ascii="Arial" w:hAnsi="Arial" w:cs="Arial"/>
          <w:b/>
          <w:color w:val="FF0000"/>
          <w:sz w:val="24"/>
          <w:szCs w:val="24"/>
        </w:rPr>
      </w:pPr>
    </w:p>
    <w:p w14:paraId="2C7DEFB9" w14:textId="76624560" w:rsidR="00EB424B" w:rsidRDefault="00EB424B" w:rsidP="00C0311D">
      <w:pPr>
        <w:rPr>
          <w:rFonts w:ascii="Arial" w:hAnsi="Arial" w:cs="Arial"/>
          <w:b/>
          <w:color w:val="FF0000"/>
          <w:sz w:val="24"/>
          <w:szCs w:val="24"/>
        </w:rPr>
      </w:pPr>
    </w:p>
    <w:p w14:paraId="330C646B" w14:textId="7D75301D" w:rsidR="00EB424B" w:rsidRDefault="00EB424B" w:rsidP="00C0311D">
      <w:pPr>
        <w:rPr>
          <w:rFonts w:ascii="Arial" w:hAnsi="Arial" w:cs="Arial"/>
          <w:b/>
          <w:color w:val="FF0000"/>
          <w:sz w:val="24"/>
          <w:szCs w:val="24"/>
        </w:rPr>
      </w:pPr>
    </w:p>
    <w:p w14:paraId="13C3C12C" w14:textId="57D6798B" w:rsidR="00EB424B" w:rsidRDefault="00EB424B" w:rsidP="00C0311D">
      <w:pPr>
        <w:rPr>
          <w:rFonts w:ascii="Arial" w:hAnsi="Arial" w:cs="Arial"/>
          <w:b/>
          <w:color w:val="FF0000"/>
          <w:sz w:val="24"/>
          <w:szCs w:val="24"/>
        </w:rPr>
      </w:pPr>
    </w:p>
    <w:p w14:paraId="5A01AB0D" w14:textId="0D0BFE99" w:rsidR="00EB424B" w:rsidRDefault="00EB424B" w:rsidP="00C0311D">
      <w:pPr>
        <w:rPr>
          <w:rFonts w:ascii="Arial" w:hAnsi="Arial" w:cs="Arial"/>
          <w:b/>
          <w:color w:val="FF0000"/>
          <w:sz w:val="24"/>
          <w:szCs w:val="24"/>
        </w:rPr>
      </w:pPr>
    </w:p>
    <w:p w14:paraId="2032E423" w14:textId="5B66E12A" w:rsidR="00EB424B" w:rsidRDefault="00EB424B" w:rsidP="00C0311D">
      <w:pPr>
        <w:rPr>
          <w:rFonts w:ascii="Arial" w:hAnsi="Arial" w:cs="Arial"/>
          <w:b/>
          <w:color w:val="FF0000"/>
          <w:sz w:val="24"/>
          <w:szCs w:val="24"/>
        </w:rPr>
      </w:pPr>
    </w:p>
    <w:p w14:paraId="14D8E8EB" w14:textId="606C3EFC" w:rsidR="00EB424B" w:rsidRDefault="00EB424B" w:rsidP="00C0311D">
      <w:pPr>
        <w:rPr>
          <w:rFonts w:ascii="Arial" w:hAnsi="Arial" w:cs="Arial"/>
          <w:b/>
          <w:color w:val="FF0000"/>
          <w:sz w:val="24"/>
          <w:szCs w:val="24"/>
        </w:rPr>
      </w:pPr>
    </w:p>
    <w:p w14:paraId="33B92B8E" w14:textId="61C8B08A" w:rsidR="00EB424B" w:rsidRDefault="00EB424B" w:rsidP="00C0311D">
      <w:pPr>
        <w:rPr>
          <w:rFonts w:ascii="Arial" w:hAnsi="Arial" w:cs="Arial"/>
          <w:b/>
          <w:color w:val="FF0000"/>
          <w:sz w:val="24"/>
          <w:szCs w:val="24"/>
        </w:rPr>
      </w:pPr>
    </w:p>
    <w:p w14:paraId="6B2982AF" w14:textId="32876AA3" w:rsidR="00EB424B" w:rsidRDefault="00EB424B" w:rsidP="00C0311D">
      <w:pPr>
        <w:rPr>
          <w:rFonts w:ascii="Arial" w:hAnsi="Arial" w:cs="Arial"/>
          <w:b/>
          <w:color w:val="FF0000"/>
          <w:sz w:val="24"/>
          <w:szCs w:val="24"/>
        </w:rPr>
      </w:pPr>
    </w:p>
    <w:p w14:paraId="1012BAD2" w14:textId="3995C855" w:rsidR="00EB424B" w:rsidRDefault="00EB424B" w:rsidP="00C0311D">
      <w:pPr>
        <w:rPr>
          <w:rFonts w:ascii="Arial" w:hAnsi="Arial" w:cs="Arial"/>
          <w:b/>
          <w:color w:val="FF0000"/>
          <w:sz w:val="24"/>
          <w:szCs w:val="24"/>
        </w:rPr>
      </w:pPr>
    </w:p>
    <w:p w14:paraId="423327A4" w14:textId="3F849259" w:rsidR="00EB424B" w:rsidRDefault="00EB424B" w:rsidP="00C0311D">
      <w:pPr>
        <w:rPr>
          <w:rFonts w:ascii="Arial" w:hAnsi="Arial" w:cs="Arial"/>
          <w:b/>
          <w:color w:val="FF0000"/>
          <w:sz w:val="24"/>
          <w:szCs w:val="24"/>
        </w:rPr>
      </w:pPr>
    </w:p>
    <w:p w14:paraId="5BEF3D04" w14:textId="0404B6BF" w:rsidR="00EB424B" w:rsidRDefault="00EB424B" w:rsidP="00C0311D">
      <w:pPr>
        <w:rPr>
          <w:rFonts w:ascii="Arial" w:hAnsi="Arial" w:cs="Arial"/>
          <w:b/>
          <w:color w:val="FF0000"/>
          <w:sz w:val="24"/>
          <w:szCs w:val="24"/>
        </w:rPr>
      </w:pPr>
    </w:p>
    <w:p w14:paraId="43E36D44" w14:textId="06E3A62B" w:rsidR="00EB424B" w:rsidRDefault="00EB424B" w:rsidP="00C0311D">
      <w:pPr>
        <w:rPr>
          <w:rFonts w:ascii="Arial" w:hAnsi="Arial" w:cs="Arial"/>
          <w:b/>
          <w:color w:val="FF0000"/>
          <w:sz w:val="24"/>
          <w:szCs w:val="24"/>
        </w:rPr>
      </w:pPr>
    </w:p>
    <w:p w14:paraId="666A78A4" w14:textId="77777777" w:rsidR="00EB424B" w:rsidRPr="007742C9" w:rsidRDefault="00EB424B" w:rsidP="00C0311D">
      <w:pPr>
        <w:rPr>
          <w:rFonts w:ascii="Arial" w:hAnsi="Arial" w:cs="Arial"/>
          <w:b/>
          <w:color w:val="FF0000"/>
          <w:sz w:val="24"/>
          <w:szCs w:val="24"/>
        </w:rPr>
      </w:pPr>
    </w:p>
    <w:p w14:paraId="5E179F99" w14:textId="454A78AD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394061B" w14:textId="07D06CEA" w:rsidR="00EB424B" w:rsidRPr="007742C9" w:rsidRDefault="00EB424B" w:rsidP="00EB424B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70BB11A0" w14:textId="77777777" w:rsidR="00EB424B" w:rsidRPr="00AE0A7E" w:rsidRDefault="00EB424B" w:rsidP="00EB424B">
      <w:pPr>
        <w:pStyle w:val="a9"/>
        <w:ind w:left="720"/>
        <w:rPr>
          <w:rFonts w:ascii="Arial" w:hAnsi="Arial"/>
          <w:b/>
        </w:rPr>
      </w:pPr>
    </w:p>
    <w:p w14:paraId="53A01378" w14:textId="77777777" w:rsidR="00EB424B" w:rsidRPr="00C240D2" w:rsidRDefault="00EB424B" w:rsidP="00EB424B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F17D59C" w14:textId="77777777" w:rsidR="00EB424B" w:rsidRPr="00C240D2" w:rsidRDefault="00EB424B" w:rsidP="00EB424B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106A948C" w14:textId="77777777" w:rsidR="00EB424B" w:rsidRPr="00C240D2" w:rsidRDefault="00EB424B" w:rsidP="00EB424B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63D16E4A" w14:textId="77777777" w:rsidR="00EB424B" w:rsidRPr="00D30434" w:rsidRDefault="00EB424B" w:rsidP="00EB424B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номер закупочной процедуры на ЭТП</w:t>
      </w:r>
    </w:p>
    <w:p w14:paraId="7480E5E5" w14:textId="77777777" w:rsidR="00EB424B" w:rsidRPr="00C240D2" w:rsidRDefault="00EB424B" w:rsidP="00EB424B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10007A4E" w14:textId="77777777" w:rsidR="00EB424B" w:rsidRPr="00C240D2" w:rsidRDefault="00EB424B" w:rsidP="00EB424B">
      <w:pPr>
        <w:jc w:val="both"/>
        <w:rPr>
          <w:rFonts w:ascii="Arial" w:hAnsi="Arial" w:cs="Arial"/>
          <w:sz w:val="24"/>
          <w:szCs w:val="24"/>
        </w:rPr>
      </w:pPr>
    </w:p>
    <w:p w14:paraId="7D60BC67" w14:textId="77777777" w:rsidR="00EB424B" w:rsidRPr="00C240D2" w:rsidRDefault="00EB424B" w:rsidP="00EB424B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0328B2DC" w14:textId="77777777" w:rsidR="00EB424B" w:rsidRPr="00C240D2" w:rsidRDefault="00EB424B" w:rsidP="00EB424B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4B6243B7" w14:textId="77777777" w:rsidR="00EB424B" w:rsidRPr="00C240D2" w:rsidRDefault="00EB424B" w:rsidP="00EB424B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Предложении.</w:t>
      </w:r>
    </w:p>
    <w:p w14:paraId="13CC9A41" w14:textId="77777777" w:rsidR="00EB424B" w:rsidRDefault="00EB424B" w:rsidP="00EB424B"/>
    <w:p w14:paraId="2B4660C5" w14:textId="77777777" w:rsidR="00EB424B" w:rsidRDefault="00EB424B" w:rsidP="00EB424B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EB424B" w:rsidRPr="00B60140" w14:paraId="0F8F610A" w14:textId="77777777" w:rsidTr="00EB424B">
        <w:tc>
          <w:tcPr>
            <w:tcW w:w="3972" w:type="dxa"/>
            <w:hideMark/>
          </w:tcPr>
          <w:p w14:paraId="45FB1F09" w14:textId="77777777" w:rsidR="00EB424B" w:rsidRPr="00B60140" w:rsidRDefault="00EB424B" w:rsidP="00EB42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4DE28252" w14:textId="77777777" w:rsidR="00EB424B" w:rsidRPr="00B60140" w:rsidRDefault="00EB424B" w:rsidP="00EB42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5AE6CC4" w14:textId="77777777" w:rsidR="00EB424B" w:rsidRPr="00B60140" w:rsidRDefault="00EB424B" w:rsidP="00EB42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EB424B" w:rsidRPr="00B60140" w14:paraId="51A9AA3B" w14:textId="77777777" w:rsidTr="00EB424B">
        <w:tc>
          <w:tcPr>
            <w:tcW w:w="3972" w:type="dxa"/>
            <w:hideMark/>
          </w:tcPr>
          <w:p w14:paraId="0A8A7B34" w14:textId="77777777" w:rsidR="00EB424B" w:rsidRPr="00B60140" w:rsidRDefault="00EB424B" w:rsidP="00EB42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7DA520B3" w14:textId="77777777" w:rsidR="00EB424B" w:rsidRPr="00B60140" w:rsidRDefault="00EB424B" w:rsidP="00EB42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42E476AD" w14:textId="77777777" w:rsidR="00EB424B" w:rsidRPr="00B60140" w:rsidRDefault="00EB424B" w:rsidP="00EB42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EB424B" w:rsidRPr="00B60140" w14:paraId="6597B38F" w14:textId="77777777" w:rsidTr="00EB424B">
        <w:tc>
          <w:tcPr>
            <w:tcW w:w="3972" w:type="dxa"/>
          </w:tcPr>
          <w:p w14:paraId="74F47C09" w14:textId="77777777" w:rsidR="00EB424B" w:rsidRPr="00B60140" w:rsidRDefault="00EB424B" w:rsidP="00EB42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624766F8" w14:textId="77777777" w:rsidR="00EB424B" w:rsidRPr="00B60140" w:rsidRDefault="00EB424B" w:rsidP="00EB42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6846221D" w14:textId="77777777" w:rsidR="00EB424B" w:rsidRPr="00B60140" w:rsidRDefault="00EB424B" w:rsidP="00EB42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F25654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27242B23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2172C1E7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001A8A10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3F71C542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5A3CB5AF" w14:textId="7CAE2296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0AA95D0E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5030"/>
        <w:gridCol w:w="1505"/>
        <w:gridCol w:w="2941"/>
      </w:tblGrid>
      <w:tr w:rsidR="00C240D2" w:rsidRPr="00E36C3D" w14:paraId="73D550D5" w14:textId="77777777" w:rsidTr="007B0BD7">
        <w:tc>
          <w:tcPr>
            <w:tcW w:w="733" w:type="dxa"/>
            <w:shd w:val="clear" w:color="auto" w:fill="auto"/>
          </w:tcPr>
          <w:p w14:paraId="1B0C5D44" w14:textId="77777777" w:rsidR="00C240D2" w:rsidRPr="007B0BD7" w:rsidRDefault="00C240D2" w:rsidP="00873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BD7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7B0BD7" w:rsidRDefault="00C240D2" w:rsidP="00873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BD7">
              <w:rPr>
                <w:rFonts w:ascii="Arial" w:hAnsi="Arial" w:cs="Arial"/>
                <w:sz w:val="20"/>
                <w:szCs w:val="20"/>
              </w:rPr>
              <w:t>Критерий</w:t>
            </w:r>
            <w:r w:rsidR="00D30434" w:rsidRPr="007B0B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79" w:type="dxa"/>
            <w:shd w:val="clear" w:color="auto" w:fill="auto"/>
          </w:tcPr>
          <w:p w14:paraId="1D37FA3B" w14:textId="77777777" w:rsidR="00C240D2" w:rsidRPr="007B0BD7" w:rsidRDefault="00C240D2" w:rsidP="00873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BD7">
              <w:rPr>
                <w:rFonts w:ascii="Arial" w:hAnsi="Arial" w:cs="Arial"/>
                <w:sz w:val="20"/>
                <w:szCs w:val="20"/>
              </w:rPr>
              <w:t>Соответствие (да/ нет)</w:t>
            </w:r>
          </w:p>
        </w:tc>
        <w:tc>
          <w:tcPr>
            <w:tcW w:w="2976" w:type="dxa"/>
            <w:shd w:val="clear" w:color="auto" w:fill="auto"/>
          </w:tcPr>
          <w:p w14:paraId="07877D0F" w14:textId="77777777" w:rsidR="00C240D2" w:rsidRPr="007B0BD7" w:rsidRDefault="00C240D2" w:rsidP="00873B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0BD7">
              <w:rPr>
                <w:rFonts w:ascii="Arial" w:hAnsi="Arial" w:cs="Arial"/>
                <w:sz w:val="20"/>
                <w:szCs w:val="20"/>
              </w:rPr>
              <w:t>Документальное подтверждение</w:t>
            </w:r>
          </w:p>
        </w:tc>
      </w:tr>
      <w:tr w:rsidR="00912CEF" w:rsidRPr="00E36C3D" w14:paraId="1CF40DAB" w14:textId="77777777" w:rsidTr="007B0BD7">
        <w:tc>
          <w:tcPr>
            <w:tcW w:w="733" w:type="dxa"/>
            <w:shd w:val="clear" w:color="auto" w:fill="auto"/>
          </w:tcPr>
          <w:p w14:paraId="598AF7E9" w14:textId="77777777" w:rsidR="00912CEF" w:rsidRPr="007B0BD7" w:rsidRDefault="00912CEF" w:rsidP="00912CEF">
            <w:pPr>
              <w:rPr>
                <w:rFonts w:ascii="Arial" w:hAnsi="Arial" w:cs="Arial"/>
                <w:sz w:val="20"/>
                <w:szCs w:val="20"/>
              </w:rPr>
            </w:pPr>
            <w:r w:rsidRPr="007B0BD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57B4A" w14:textId="29E4C62A" w:rsidR="00912CEF" w:rsidRPr="007B0BD7" w:rsidRDefault="00912CEF" w:rsidP="00912CEF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B0BD7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Сопоставимая с объёмом закупки выручка Участника за год, согласно строке № 2110 формы 2 бухгалтерского баланса за </w:t>
            </w:r>
            <w:r w:rsidR="00EB424B" w:rsidRPr="007B0BD7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  <w:r w:rsidRPr="007B0BD7">
              <w:rPr>
                <w:rFonts w:ascii="Arial" w:hAnsi="Arial" w:cs="Arial"/>
                <w:color w:val="000000"/>
                <w:sz w:val="20"/>
                <w:szCs w:val="20"/>
              </w:rPr>
              <w:t xml:space="preserve"> (год) не менее </w:t>
            </w:r>
            <w:r w:rsidR="00EB424B" w:rsidRPr="007B0BD7">
              <w:rPr>
                <w:rFonts w:ascii="Arial" w:hAnsi="Arial" w:cs="Arial"/>
                <w:color w:val="000000"/>
                <w:sz w:val="20"/>
                <w:szCs w:val="20"/>
              </w:rPr>
              <w:t>1 5</w:t>
            </w:r>
            <w:r w:rsidRPr="007B0BD7">
              <w:rPr>
                <w:rFonts w:ascii="Arial" w:hAnsi="Arial" w:cs="Arial"/>
                <w:color w:val="000000"/>
                <w:sz w:val="20"/>
                <w:szCs w:val="20"/>
              </w:rPr>
              <w:t xml:space="preserve">00 000,00 руб. </w:t>
            </w:r>
          </w:p>
        </w:tc>
        <w:tc>
          <w:tcPr>
            <w:tcW w:w="1379" w:type="dxa"/>
            <w:shd w:val="clear" w:color="auto" w:fill="auto"/>
          </w:tcPr>
          <w:p w14:paraId="416790F6" w14:textId="77777777" w:rsidR="00912CEF" w:rsidRPr="007B0BD7" w:rsidRDefault="00912CEF" w:rsidP="00912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3D31075B" w14:textId="3B308619" w:rsidR="00912CEF" w:rsidRPr="007B0BD7" w:rsidRDefault="00912CEF" w:rsidP="00912CEF">
            <w:pPr>
              <w:rPr>
                <w:rFonts w:ascii="Arial" w:hAnsi="Arial" w:cs="Arial"/>
                <w:sz w:val="20"/>
                <w:szCs w:val="20"/>
              </w:rPr>
            </w:pPr>
            <w:r w:rsidRPr="007B0BD7">
              <w:rPr>
                <w:rFonts w:ascii="Arial" w:hAnsi="Arial" w:cs="Arial"/>
                <w:i/>
                <w:color w:val="0070C0"/>
                <w:sz w:val="20"/>
                <w:szCs w:val="20"/>
              </w:rPr>
              <w:t>Бух. отчетность</w:t>
            </w:r>
          </w:p>
        </w:tc>
      </w:tr>
      <w:tr w:rsidR="00912CEF" w:rsidRPr="00E36C3D" w14:paraId="6C2A4CBA" w14:textId="77777777" w:rsidTr="007B0BD7">
        <w:tc>
          <w:tcPr>
            <w:tcW w:w="733" w:type="dxa"/>
            <w:shd w:val="clear" w:color="auto" w:fill="auto"/>
          </w:tcPr>
          <w:p w14:paraId="59BD2A44" w14:textId="77777777" w:rsidR="00912CEF" w:rsidRPr="007B0BD7" w:rsidRDefault="00912CEF" w:rsidP="00912CEF">
            <w:pPr>
              <w:rPr>
                <w:rFonts w:ascii="Arial" w:hAnsi="Arial" w:cs="Arial"/>
                <w:sz w:val="20"/>
                <w:szCs w:val="20"/>
              </w:rPr>
            </w:pPr>
            <w:r w:rsidRPr="007B0BD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B680A" w14:textId="7AE7C9D7" w:rsidR="00912CEF" w:rsidRPr="007B0BD7" w:rsidRDefault="00912CEF" w:rsidP="00912CE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0BD7">
              <w:rPr>
                <w:rFonts w:ascii="Arial" w:hAnsi="Arial" w:cs="Arial"/>
                <w:color w:val="000000"/>
                <w:sz w:val="20"/>
                <w:szCs w:val="20"/>
              </w:rPr>
              <w:t xml:space="preserve">Участник должен быть зарегистрирован в качестве юридического лица или Индивидуального предпринимателя в установленном законодательством РФ порядке не менее 3 лет с момента государственной регистрации </w:t>
            </w:r>
            <w:r w:rsidR="007B0BD7" w:rsidRPr="007B0BD7">
              <w:rPr>
                <w:rFonts w:ascii="Arial" w:hAnsi="Arial" w:cs="Arial"/>
                <w:color w:val="000000"/>
                <w:sz w:val="20"/>
                <w:szCs w:val="20"/>
              </w:rPr>
              <w:t>ЮЛ</w:t>
            </w:r>
            <w:r w:rsidRPr="007B0BD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9" w:type="dxa"/>
            <w:shd w:val="clear" w:color="auto" w:fill="auto"/>
          </w:tcPr>
          <w:p w14:paraId="55A332B4" w14:textId="77777777" w:rsidR="00912CEF" w:rsidRPr="007B0BD7" w:rsidRDefault="00912CEF" w:rsidP="00912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70DD12E2" w14:textId="464A71ED" w:rsidR="00912CEF" w:rsidRPr="007B0BD7" w:rsidRDefault="00912CEF" w:rsidP="00912CEF">
            <w:pPr>
              <w:rPr>
                <w:rFonts w:ascii="Arial" w:hAnsi="Arial" w:cs="Arial"/>
                <w:sz w:val="20"/>
                <w:szCs w:val="20"/>
              </w:rPr>
            </w:pPr>
            <w:r w:rsidRPr="007B0BD7">
              <w:rPr>
                <w:rFonts w:ascii="Arial" w:hAnsi="Arial" w:cs="Arial"/>
                <w:i/>
                <w:color w:val="0070C0"/>
                <w:sz w:val="20"/>
                <w:szCs w:val="20"/>
              </w:rPr>
              <w:t>Свидетельство ОГРН</w:t>
            </w:r>
          </w:p>
        </w:tc>
      </w:tr>
      <w:tr w:rsidR="00912CEF" w:rsidRPr="00E36C3D" w14:paraId="4F28C737" w14:textId="77777777" w:rsidTr="007B0BD7">
        <w:tc>
          <w:tcPr>
            <w:tcW w:w="733" w:type="dxa"/>
            <w:shd w:val="clear" w:color="auto" w:fill="auto"/>
          </w:tcPr>
          <w:p w14:paraId="2DCE79AD" w14:textId="77777777" w:rsidR="00912CEF" w:rsidRPr="007B0BD7" w:rsidRDefault="00912CEF" w:rsidP="00912CEF">
            <w:pPr>
              <w:rPr>
                <w:rFonts w:ascii="Arial" w:hAnsi="Arial" w:cs="Arial"/>
                <w:sz w:val="20"/>
                <w:szCs w:val="20"/>
              </w:rPr>
            </w:pPr>
            <w:r w:rsidRPr="007B0BD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EB04C" w14:textId="68F4F9B8" w:rsidR="00912CEF" w:rsidRPr="007B0BD7" w:rsidRDefault="00912CEF" w:rsidP="00912CEF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B0BD7">
              <w:rPr>
                <w:rFonts w:ascii="Arial" w:hAnsi="Arial" w:cs="Arial"/>
                <w:color w:val="000000"/>
                <w:sz w:val="20"/>
                <w:szCs w:val="20"/>
              </w:rPr>
              <w:t>Участник не должен быть включён в перечень недобросовестных налогоплательщиков.</w:t>
            </w:r>
          </w:p>
        </w:tc>
        <w:tc>
          <w:tcPr>
            <w:tcW w:w="1379" w:type="dxa"/>
            <w:shd w:val="clear" w:color="auto" w:fill="auto"/>
          </w:tcPr>
          <w:p w14:paraId="655E3444" w14:textId="77777777" w:rsidR="00912CEF" w:rsidRPr="007B0BD7" w:rsidRDefault="00912CEF" w:rsidP="00912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6A07FAAE" w14:textId="56D0EE2E" w:rsidR="00912CEF" w:rsidRPr="007B0BD7" w:rsidRDefault="00D46E55" w:rsidP="00912C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0BD7">
              <w:rPr>
                <w:rFonts w:ascii="Arial" w:hAnsi="Arial" w:cs="Arial"/>
                <w:i/>
                <w:color w:val="0070C0"/>
                <w:sz w:val="20"/>
                <w:szCs w:val="20"/>
              </w:rPr>
              <w:t>В форме ПКО в данной ячейке прописать</w:t>
            </w:r>
          </w:p>
        </w:tc>
      </w:tr>
      <w:tr w:rsidR="00912CEF" w:rsidRPr="00E36C3D" w14:paraId="0DC2DCD8" w14:textId="77777777" w:rsidTr="007B0BD7">
        <w:tc>
          <w:tcPr>
            <w:tcW w:w="733" w:type="dxa"/>
            <w:shd w:val="clear" w:color="auto" w:fill="auto"/>
          </w:tcPr>
          <w:p w14:paraId="6A6F794C" w14:textId="77777777" w:rsidR="00912CEF" w:rsidRPr="007B0BD7" w:rsidRDefault="00912CEF" w:rsidP="00912CEF">
            <w:pPr>
              <w:rPr>
                <w:rFonts w:ascii="Arial" w:hAnsi="Arial" w:cs="Arial"/>
                <w:sz w:val="20"/>
                <w:szCs w:val="20"/>
              </w:rPr>
            </w:pPr>
            <w:r w:rsidRPr="007B0BD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D3D2A" w14:textId="2102D38B" w:rsidR="00912CEF" w:rsidRPr="007B0BD7" w:rsidRDefault="00EB424B" w:rsidP="00912CEF">
            <w:pPr>
              <w:rPr>
                <w:rFonts w:ascii="Arial" w:hAnsi="Arial" w:cs="Arial"/>
                <w:sz w:val="20"/>
                <w:szCs w:val="20"/>
              </w:rPr>
            </w:pPr>
            <w:r w:rsidRPr="007B0BD7">
              <w:rPr>
                <w:rFonts w:ascii="Arial" w:hAnsi="Arial" w:cs="Arial"/>
                <w:color w:val="000000"/>
                <w:sz w:val="20"/>
                <w:szCs w:val="20"/>
              </w:rPr>
              <w:t xml:space="preserve">Опыт оказания аналогичных услуг для крупных компаний и лидеров ИТ рынка </w:t>
            </w:r>
          </w:p>
        </w:tc>
        <w:tc>
          <w:tcPr>
            <w:tcW w:w="1379" w:type="dxa"/>
            <w:shd w:val="clear" w:color="auto" w:fill="auto"/>
          </w:tcPr>
          <w:p w14:paraId="327044F5" w14:textId="77777777" w:rsidR="00912CEF" w:rsidRPr="007B0BD7" w:rsidRDefault="00912CEF" w:rsidP="00912CEF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18123689" w14:textId="7BA8F885" w:rsidR="00912CEF" w:rsidRPr="007B0BD7" w:rsidRDefault="00C57688" w:rsidP="00912CEF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70C0"/>
                <w:sz w:val="20"/>
                <w:szCs w:val="20"/>
              </w:rPr>
              <w:t>В приложении №6 и в</w:t>
            </w:r>
            <w:r w:rsidR="00912CEF" w:rsidRPr="007B0BD7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 презентации</w:t>
            </w:r>
          </w:p>
        </w:tc>
      </w:tr>
      <w:tr w:rsidR="00EB424B" w:rsidRPr="00E36C3D" w14:paraId="6D47E3E9" w14:textId="77777777" w:rsidTr="007B0BD7">
        <w:tc>
          <w:tcPr>
            <w:tcW w:w="733" w:type="dxa"/>
            <w:shd w:val="clear" w:color="auto" w:fill="auto"/>
          </w:tcPr>
          <w:p w14:paraId="079F115B" w14:textId="77777777" w:rsidR="00EB424B" w:rsidRPr="007B0BD7" w:rsidRDefault="00EB424B" w:rsidP="00EB424B">
            <w:pPr>
              <w:rPr>
                <w:rFonts w:ascii="Arial" w:hAnsi="Arial" w:cs="Arial"/>
                <w:sz w:val="20"/>
                <w:szCs w:val="20"/>
              </w:rPr>
            </w:pPr>
            <w:r w:rsidRPr="007B0BD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97D16" w14:textId="70A76AE9" w:rsidR="00EB424B" w:rsidRPr="007B0BD7" w:rsidRDefault="00EB424B" w:rsidP="00EB42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0BD7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Наличие у участника рекрутинговой платформы, </w:t>
            </w:r>
            <w:r w:rsidRPr="007B0BD7">
              <w:rPr>
                <w:rFonts w:ascii="Arial" w:hAnsi="Arial" w:cs="Arial"/>
                <w:color w:val="FF0000"/>
                <w:sz w:val="20"/>
                <w:szCs w:val="20"/>
              </w:rPr>
              <w:t>предоставить тестовый доступ.</w:t>
            </w:r>
          </w:p>
        </w:tc>
        <w:tc>
          <w:tcPr>
            <w:tcW w:w="1379" w:type="dxa"/>
            <w:shd w:val="clear" w:color="auto" w:fill="auto"/>
          </w:tcPr>
          <w:p w14:paraId="75F0BB8F" w14:textId="77777777" w:rsidR="00EB424B" w:rsidRPr="007B0BD7" w:rsidRDefault="00EB424B" w:rsidP="00EB42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2F5865D8" w14:textId="52D05210" w:rsidR="00EB424B" w:rsidRPr="007B0BD7" w:rsidRDefault="00EB424B" w:rsidP="00EB424B">
            <w:pPr>
              <w:rPr>
                <w:rFonts w:ascii="Arial" w:hAnsi="Arial" w:cs="Arial"/>
                <w:sz w:val="20"/>
                <w:szCs w:val="20"/>
              </w:rPr>
            </w:pPr>
            <w:r w:rsidRPr="007B0BD7">
              <w:rPr>
                <w:rFonts w:ascii="Arial" w:hAnsi="Arial" w:cs="Arial"/>
                <w:i/>
                <w:color w:val="0070C0"/>
                <w:sz w:val="20"/>
                <w:szCs w:val="20"/>
              </w:rPr>
              <w:t>В презентации</w:t>
            </w:r>
          </w:p>
        </w:tc>
      </w:tr>
      <w:tr w:rsidR="00EB424B" w:rsidRPr="00E36C3D" w14:paraId="67C10DA6" w14:textId="77777777" w:rsidTr="007B0BD7">
        <w:tc>
          <w:tcPr>
            <w:tcW w:w="733" w:type="dxa"/>
            <w:shd w:val="clear" w:color="auto" w:fill="auto"/>
          </w:tcPr>
          <w:p w14:paraId="1D301051" w14:textId="301EFCD4" w:rsidR="00EB424B" w:rsidRPr="007B0BD7" w:rsidRDefault="00D46E55" w:rsidP="00EB424B">
            <w:pPr>
              <w:rPr>
                <w:rFonts w:ascii="Arial" w:hAnsi="Arial" w:cs="Arial"/>
                <w:sz w:val="20"/>
                <w:szCs w:val="20"/>
              </w:rPr>
            </w:pPr>
            <w:r w:rsidRPr="007B0BD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EB583" w14:textId="61BD57DD" w:rsidR="00EB424B" w:rsidRPr="007B0BD7" w:rsidRDefault="00EB424B" w:rsidP="00EB42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0BD7">
              <w:rPr>
                <w:rFonts w:ascii="Arial" w:hAnsi="Arial" w:cs="Arial"/>
                <w:color w:val="000000"/>
                <w:sz w:val="20"/>
                <w:szCs w:val="20"/>
              </w:rPr>
              <w:t>Готовность Претендента предоставить персональные данные своих сотрудников для проверки их СБ Заказчика.</w:t>
            </w:r>
          </w:p>
        </w:tc>
        <w:tc>
          <w:tcPr>
            <w:tcW w:w="1379" w:type="dxa"/>
            <w:shd w:val="clear" w:color="auto" w:fill="auto"/>
          </w:tcPr>
          <w:p w14:paraId="7BB6445E" w14:textId="77777777" w:rsidR="00EB424B" w:rsidRPr="007B0BD7" w:rsidRDefault="00EB424B" w:rsidP="00EB42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1A69CBED" w14:textId="7782ABA9" w:rsidR="00EB424B" w:rsidRPr="007B0BD7" w:rsidRDefault="00D46E55" w:rsidP="00EB424B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7B0BD7">
              <w:rPr>
                <w:rFonts w:ascii="Arial" w:hAnsi="Arial" w:cs="Arial"/>
                <w:i/>
                <w:color w:val="0070C0"/>
                <w:sz w:val="20"/>
                <w:szCs w:val="20"/>
              </w:rPr>
              <w:t>В форме ПКО в данной ячейке прописать готовность</w:t>
            </w:r>
            <w:bookmarkStart w:id="2" w:name="_GoBack"/>
            <w:bookmarkEnd w:id="2"/>
          </w:p>
        </w:tc>
      </w:tr>
      <w:tr w:rsidR="00EB424B" w:rsidRPr="00E36C3D" w14:paraId="4AD8A4E8" w14:textId="77777777" w:rsidTr="007B0BD7">
        <w:tc>
          <w:tcPr>
            <w:tcW w:w="733" w:type="dxa"/>
            <w:shd w:val="clear" w:color="auto" w:fill="auto"/>
          </w:tcPr>
          <w:p w14:paraId="144D182C" w14:textId="79BA2F93" w:rsidR="00EB424B" w:rsidRPr="007B0BD7" w:rsidRDefault="00D46E55" w:rsidP="00EB424B">
            <w:pPr>
              <w:rPr>
                <w:rFonts w:ascii="Arial" w:hAnsi="Arial" w:cs="Arial"/>
                <w:sz w:val="20"/>
                <w:szCs w:val="20"/>
              </w:rPr>
            </w:pPr>
            <w:r w:rsidRPr="007B0BD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50C60" w14:textId="40BEFB44" w:rsidR="00EB424B" w:rsidRPr="007B0BD7" w:rsidRDefault="00EB424B" w:rsidP="00EB42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0BD7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Расчет стоимости тестового задания по ТЗ </w:t>
            </w:r>
            <w:proofErr w:type="gramStart"/>
            <w:r w:rsidRPr="007B0BD7">
              <w:rPr>
                <w:rFonts w:ascii="Arial" w:hAnsi="Arial" w:cs="Arial"/>
                <w:color w:val="000000"/>
                <w:sz w:val="20"/>
                <w:szCs w:val="20"/>
              </w:rPr>
              <w:t>Заказчика</w:t>
            </w:r>
            <w:r w:rsidR="00D46E55" w:rsidRPr="007B0BD7">
              <w:rPr>
                <w:rFonts w:ascii="Arial" w:hAnsi="Arial" w:cs="Arial"/>
                <w:color w:val="000000"/>
                <w:sz w:val="20"/>
                <w:szCs w:val="20"/>
              </w:rPr>
              <w:t xml:space="preserve">  (</w:t>
            </w:r>
            <w:proofErr w:type="gramEnd"/>
            <w:r w:rsidR="00D46E55" w:rsidRPr="007B0BD7">
              <w:rPr>
                <w:rFonts w:ascii="Arial" w:hAnsi="Arial" w:cs="Arial"/>
                <w:color w:val="000000"/>
                <w:sz w:val="20"/>
                <w:szCs w:val="20"/>
              </w:rPr>
              <w:t>оценочная стоимость)</w:t>
            </w:r>
          </w:p>
        </w:tc>
        <w:tc>
          <w:tcPr>
            <w:tcW w:w="1379" w:type="dxa"/>
            <w:shd w:val="clear" w:color="auto" w:fill="auto"/>
          </w:tcPr>
          <w:p w14:paraId="12D8A827" w14:textId="77777777" w:rsidR="00EB424B" w:rsidRPr="007B0BD7" w:rsidRDefault="00EB424B" w:rsidP="00EB42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1CB79B97" w14:textId="581EC957" w:rsidR="00EB424B" w:rsidRPr="007B0BD7" w:rsidRDefault="00D46E55" w:rsidP="00EB424B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7B0BD7">
              <w:rPr>
                <w:rFonts w:ascii="Arial" w:hAnsi="Arial" w:cs="Arial"/>
                <w:i/>
                <w:color w:val="0070C0"/>
                <w:sz w:val="20"/>
                <w:szCs w:val="20"/>
              </w:rPr>
              <w:t>В Приложении №6</w:t>
            </w:r>
          </w:p>
        </w:tc>
      </w:tr>
      <w:tr w:rsidR="00EB424B" w:rsidRPr="00E36C3D" w14:paraId="4406D26A" w14:textId="77777777" w:rsidTr="007B0BD7">
        <w:tc>
          <w:tcPr>
            <w:tcW w:w="733" w:type="dxa"/>
            <w:shd w:val="clear" w:color="auto" w:fill="auto"/>
          </w:tcPr>
          <w:p w14:paraId="2593E7AA" w14:textId="76C00C5E" w:rsidR="00EB424B" w:rsidRPr="007B0BD7" w:rsidRDefault="00D46E55" w:rsidP="00EB424B">
            <w:pPr>
              <w:rPr>
                <w:rFonts w:ascii="Arial" w:hAnsi="Arial" w:cs="Arial"/>
                <w:sz w:val="20"/>
                <w:szCs w:val="20"/>
              </w:rPr>
            </w:pPr>
            <w:r w:rsidRPr="007B0BD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2F03" w14:textId="42D146BD" w:rsidR="00EB424B" w:rsidRPr="007B0BD7" w:rsidRDefault="00EB424B" w:rsidP="00EB42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0BD7">
              <w:rPr>
                <w:rFonts w:ascii="Arial" w:hAnsi="Arial" w:cs="Arial"/>
                <w:color w:val="000000"/>
                <w:sz w:val="20"/>
                <w:szCs w:val="20"/>
              </w:rPr>
              <w:t>Согласие с проектом договора Заказчика</w:t>
            </w:r>
          </w:p>
        </w:tc>
        <w:tc>
          <w:tcPr>
            <w:tcW w:w="1379" w:type="dxa"/>
            <w:shd w:val="clear" w:color="auto" w:fill="auto"/>
          </w:tcPr>
          <w:p w14:paraId="31B76028" w14:textId="77777777" w:rsidR="00EB424B" w:rsidRPr="007B0BD7" w:rsidRDefault="00EB424B" w:rsidP="00EB42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62F09EBE" w14:textId="6E607EB7" w:rsidR="00EB424B" w:rsidRPr="007B0BD7" w:rsidRDefault="00D46E55" w:rsidP="00EB424B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7B0BD7">
              <w:rPr>
                <w:rFonts w:ascii="Arial" w:hAnsi="Arial" w:cs="Arial"/>
                <w:i/>
                <w:color w:val="0070C0"/>
                <w:sz w:val="20"/>
                <w:szCs w:val="20"/>
              </w:rPr>
              <w:t>Заполненное Приложение №4</w:t>
            </w:r>
          </w:p>
        </w:tc>
      </w:tr>
    </w:tbl>
    <w:p w14:paraId="3986B35C" w14:textId="1A1C02E3" w:rsidR="00C240D2" w:rsidRDefault="00C240D2" w:rsidP="00C240D2"/>
    <w:p w14:paraId="3FA76FC5" w14:textId="77777777" w:rsidR="007B0BD7" w:rsidRPr="00456F45" w:rsidRDefault="007B0BD7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lastRenderedPageBreak/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36300659" w:rsidR="007B0BD7" w:rsidRPr="007B0BD7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</w:t>
            </w:r>
            <w:r w:rsidR="007B0BD7">
              <w:rPr>
                <w:rFonts w:ascii="Arial" w:hAnsi="Arial" w:cs="Arial"/>
                <w:sz w:val="24"/>
                <w:szCs w:val="24"/>
              </w:rPr>
              <w:t>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440CC70" w:rsidR="004034A2" w:rsidRPr="004034A2" w:rsidRDefault="00654826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="004034A2"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5F1ABD03" w14:textId="77777777" w:rsidR="00512558" w:rsidRPr="00C32015" w:rsidRDefault="00512558" w:rsidP="00512558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C32015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проживающий(</w:t>
      </w:r>
      <w:proofErr w:type="spellStart"/>
      <w:r w:rsidRPr="00C32015">
        <w:rPr>
          <w:rFonts w:ascii="Arial" w:hAnsi="Arial" w:cs="Arial"/>
          <w:sz w:val="24"/>
          <w:szCs w:val="24"/>
        </w:rPr>
        <w:t>ая</w:t>
      </w:r>
      <w:proofErr w:type="spellEnd"/>
      <w:r w:rsidRPr="00C32015">
        <w:rPr>
          <w:rFonts w:ascii="Arial" w:hAnsi="Arial" w:cs="Arial"/>
          <w:sz w:val="24"/>
          <w:szCs w:val="24"/>
        </w:rPr>
        <w:t xml:space="preserve">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C32015" w14:paraId="2239E162" w14:textId="77777777" w:rsidTr="000C20BB">
        <w:tc>
          <w:tcPr>
            <w:tcW w:w="5236" w:type="dxa"/>
            <w:shd w:val="clear" w:color="auto" w:fill="auto"/>
          </w:tcPr>
          <w:p w14:paraId="084471A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C32015" w14:paraId="154B5348" w14:textId="77777777" w:rsidTr="000C20BB">
        <w:tc>
          <w:tcPr>
            <w:tcW w:w="5387" w:type="dxa"/>
            <w:shd w:val="clear" w:color="auto" w:fill="auto"/>
          </w:tcPr>
          <w:p w14:paraId="59918CF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Сведения об участии в уставном капитале и участии (членстве) в органах управления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>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Паспортные данные или данные иного документа, удостоверяющего личность (серия, номер, дата выдачи, наименование органа,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выдавшего документ); Адрес регистрации, Гражданство </w:t>
            </w:r>
          </w:p>
          <w:p w14:paraId="060E755B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C32015" w:rsidRDefault="00512558" w:rsidP="000C20BB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5C6A589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b/>
          <w:sz w:val="24"/>
          <w:szCs w:val="24"/>
        </w:rPr>
      </w:pPr>
    </w:p>
    <w:p w14:paraId="30C92AF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Операции с Персональными данными, источники их получения и срок обработки</w:t>
      </w:r>
    </w:p>
    <w:p w14:paraId="308260C2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1B2A4F11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sz w:val="24"/>
          <w:szCs w:val="24"/>
        </w:rPr>
      </w:pPr>
    </w:p>
    <w:p w14:paraId="4127F37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C32015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C32015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C32015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666CFCE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713EEC0C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45530D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45530D" w14:paraId="0DC3B79D" w14:textId="77777777" w:rsidTr="000C20BB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45530D" w:rsidRDefault="00512558" w:rsidP="000C20BB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45530D" w14:paraId="67122371" w14:textId="77777777" w:rsidTr="000C20BB">
        <w:tc>
          <w:tcPr>
            <w:tcW w:w="567" w:type="dxa"/>
            <w:shd w:val="clear" w:color="auto" w:fill="auto"/>
          </w:tcPr>
          <w:p w14:paraId="2867B67D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45530D" w:rsidRDefault="00512558" w:rsidP="000C20BB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45530D" w:rsidRDefault="00512558" w:rsidP="000C20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«ГК «Иннотех» (123112, г. Москва, </w:t>
            </w:r>
            <w:proofErr w:type="spellStart"/>
            <w:r w:rsidRPr="0045530D">
              <w:rPr>
                <w:rFonts w:ascii="Arial" w:hAnsi="Arial" w:cs="Arial"/>
              </w:rPr>
              <w:t>вн</w:t>
            </w:r>
            <w:proofErr w:type="spellEnd"/>
            <w:r w:rsidRPr="0045530D">
              <w:rPr>
                <w:rFonts w:ascii="Arial" w:hAnsi="Arial" w:cs="Arial"/>
              </w:rPr>
              <w:t xml:space="preserve">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45530D" w:rsidRDefault="00512558" w:rsidP="000C20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48DB9BA6" w14:textId="77777777" w:rsidTr="000C20BB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45530D" w:rsidRDefault="00512558" w:rsidP="000C20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45530D" w:rsidRDefault="00512558" w:rsidP="000C20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45530D" w:rsidRDefault="00512558" w:rsidP="000C20BB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45530D" w:rsidRDefault="00512558" w:rsidP="000C20BB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01E286BF" w14:textId="77777777" w:rsidTr="000C20BB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45530D" w:rsidRDefault="00512558" w:rsidP="000C20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45530D" w:rsidRDefault="00512558" w:rsidP="000C20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«Т1 </w:t>
            </w:r>
            <w:proofErr w:type="spellStart"/>
            <w:r w:rsidRPr="0045530D">
              <w:rPr>
                <w:rFonts w:ascii="Arial" w:hAnsi="Arial" w:cs="Arial"/>
              </w:rPr>
              <w:t>Клауд</w:t>
            </w:r>
            <w:proofErr w:type="spellEnd"/>
            <w:r w:rsidRPr="0045530D">
              <w:rPr>
                <w:rFonts w:ascii="Arial" w:hAnsi="Arial" w:cs="Arial"/>
              </w:rPr>
              <w:t xml:space="preserve">» (111395, г. Москва, ул. Юности, д. 13А, </w:t>
            </w:r>
            <w:proofErr w:type="spellStart"/>
            <w:r w:rsidRPr="0045530D">
              <w:rPr>
                <w:rFonts w:ascii="Arial" w:hAnsi="Arial" w:cs="Arial"/>
              </w:rPr>
              <w:t>каб</w:t>
            </w:r>
            <w:proofErr w:type="spellEnd"/>
            <w:r w:rsidRPr="0045530D">
              <w:rPr>
                <w:rFonts w:ascii="Arial" w:hAnsi="Arial" w:cs="Arial"/>
              </w:rPr>
              <w:t>. 8; ИНН 7720479358)</w:t>
            </w:r>
          </w:p>
        </w:tc>
      </w:tr>
    </w:tbl>
    <w:p w14:paraId="6A57FD6A" w14:textId="77777777" w:rsidR="00512558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1F3CA7" w:rsidRDefault="00AE0A7E" w:rsidP="00512558">
      <w:pPr>
        <w:jc w:val="both"/>
        <w:rPr>
          <w:rFonts w:ascii="Arial" w:hAnsi="Arial"/>
          <w:b/>
        </w:rPr>
      </w:pPr>
    </w:p>
    <w:sectPr w:rsidR="00AE0A7E" w:rsidRPr="001F3CA7" w:rsidSect="0058142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EB424B" w:rsidRDefault="00EB424B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EB424B" w:rsidRDefault="00EB4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EB424B" w:rsidRPr="00F56C11" w:rsidRDefault="00C57688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EB424B" w:rsidRPr="00F56C11">
          <w:fldChar w:fldCharType="begin"/>
        </w:r>
        <w:r w:rsidR="00EB424B" w:rsidRPr="00F56C11">
          <w:instrText>PAGE   \* MERGEFORMAT</w:instrText>
        </w:r>
        <w:r w:rsidR="00EB424B" w:rsidRPr="00F56C11">
          <w:fldChar w:fldCharType="separate"/>
        </w:r>
        <w:r w:rsidR="00EB424B" w:rsidRPr="00F56C11">
          <w:t>2</w:t>
        </w:r>
        <w:r w:rsidR="00EB424B" w:rsidRPr="00F56C11">
          <w:fldChar w:fldCharType="end"/>
        </w:r>
      </w:sdtContent>
    </w:sdt>
    <w:r w:rsidR="00EB424B" w:rsidRPr="00F56C11">
      <w:t xml:space="preserve"> </w:t>
    </w:r>
  </w:p>
  <w:p w14:paraId="6EF5EEEF" w14:textId="77777777" w:rsidR="00EB424B" w:rsidRDefault="00EB424B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EB424B" w:rsidRPr="00536897" w:rsidRDefault="00EB424B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EB424B" w:rsidRDefault="00EB424B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EB424B" w:rsidRDefault="00EB424B">
      <w:pPr>
        <w:spacing w:after="0" w:line="240" w:lineRule="auto"/>
      </w:pPr>
      <w:r>
        <w:continuationSeparator/>
      </w:r>
    </w:p>
  </w:footnote>
  <w:footnote w:id="1">
    <w:p w14:paraId="4CA1B5E8" w14:textId="77777777" w:rsidR="00EB424B" w:rsidRDefault="00EB424B" w:rsidP="00512558">
      <w:pPr>
        <w:pStyle w:val="af7"/>
      </w:pPr>
      <w:r>
        <w:rPr>
          <w:rStyle w:val="af9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EB424B" w:rsidRPr="00986725" w:rsidRDefault="00EB424B" w:rsidP="00512558">
      <w:pPr>
        <w:pStyle w:val="af7"/>
        <w:ind w:right="-24"/>
        <w:rPr>
          <w:sz w:val="14"/>
          <w:szCs w:val="14"/>
        </w:rPr>
      </w:pPr>
      <w:r w:rsidRPr="00986725">
        <w:rPr>
          <w:rStyle w:val="af9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EB424B" w:rsidRDefault="00EB424B" w:rsidP="00512558">
      <w:pPr>
        <w:pStyle w:val="af7"/>
      </w:pPr>
      <w:r w:rsidRPr="000524C0">
        <w:rPr>
          <w:rStyle w:val="af9"/>
          <w:rFonts w:eastAsia="SimSun"/>
          <w:sz w:val="14"/>
          <w:szCs w:val="14"/>
        </w:rPr>
        <w:footnoteRef/>
      </w:r>
      <w:r w:rsidRPr="000524C0">
        <w:rPr>
          <w:rStyle w:val="af9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EB424B" w:rsidRDefault="00EB424B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EB424B" w:rsidRDefault="00EB424B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EB424B" w:rsidRDefault="00EB424B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5963F3"/>
    <w:multiLevelType w:val="hybridMultilevel"/>
    <w:tmpl w:val="073E3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0F2F"/>
    <w:rsid w:val="000C20BB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313085"/>
    <w:rsid w:val="00334E74"/>
    <w:rsid w:val="00352359"/>
    <w:rsid w:val="0035246E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25C1"/>
    <w:rsid w:val="004653B0"/>
    <w:rsid w:val="00496685"/>
    <w:rsid w:val="00496BFC"/>
    <w:rsid w:val="004D142F"/>
    <w:rsid w:val="004E0372"/>
    <w:rsid w:val="004E2776"/>
    <w:rsid w:val="004F207C"/>
    <w:rsid w:val="00512558"/>
    <w:rsid w:val="00542C27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0DCF"/>
    <w:rsid w:val="00633A53"/>
    <w:rsid w:val="00633F03"/>
    <w:rsid w:val="006447F6"/>
    <w:rsid w:val="00653627"/>
    <w:rsid w:val="00654826"/>
    <w:rsid w:val="0065710E"/>
    <w:rsid w:val="00667056"/>
    <w:rsid w:val="006A11E3"/>
    <w:rsid w:val="006B1903"/>
    <w:rsid w:val="006B6413"/>
    <w:rsid w:val="006D1677"/>
    <w:rsid w:val="006D3472"/>
    <w:rsid w:val="0071569D"/>
    <w:rsid w:val="007225C2"/>
    <w:rsid w:val="00730B6B"/>
    <w:rsid w:val="007613C2"/>
    <w:rsid w:val="007742C9"/>
    <w:rsid w:val="007814BA"/>
    <w:rsid w:val="00781FF7"/>
    <w:rsid w:val="007A6299"/>
    <w:rsid w:val="007B0BD7"/>
    <w:rsid w:val="007E29F3"/>
    <w:rsid w:val="0080688A"/>
    <w:rsid w:val="00807E44"/>
    <w:rsid w:val="00817EC0"/>
    <w:rsid w:val="008576C0"/>
    <w:rsid w:val="00873BC7"/>
    <w:rsid w:val="008E6073"/>
    <w:rsid w:val="00912CEF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56892"/>
    <w:rsid w:val="00A6057C"/>
    <w:rsid w:val="00A60C13"/>
    <w:rsid w:val="00A66A9D"/>
    <w:rsid w:val="00A710C3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2015"/>
    <w:rsid w:val="00C3697D"/>
    <w:rsid w:val="00C57688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46E55"/>
    <w:rsid w:val="00D53870"/>
    <w:rsid w:val="00D53B3D"/>
    <w:rsid w:val="00D7409F"/>
    <w:rsid w:val="00D861BB"/>
    <w:rsid w:val="00D865BE"/>
    <w:rsid w:val="00D94ED2"/>
    <w:rsid w:val="00DA4BDE"/>
    <w:rsid w:val="00E36C3D"/>
    <w:rsid w:val="00E37204"/>
    <w:rsid w:val="00E61F25"/>
    <w:rsid w:val="00E85F88"/>
    <w:rsid w:val="00E952F1"/>
    <w:rsid w:val="00EB424B"/>
    <w:rsid w:val="00EB78BE"/>
    <w:rsid w:val="00ED380B"/>
    <w:rsid w:val="00EF4DDC"/>
    <w:rsid w:val="00F06049"/>
    <w:rsid w:val="00F26E18"/>
    <w:rsid w:val="00F4604A"/>
    <w:rsid w:val="00F729AA"/>
    <w:rsid w:val="00F752A2"/>
    <w:rsid w:val="00F76CE9"/>
    <w:rsid w:val="00F81E33"/>
    <w:rsid w:val="00F840B1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7">
    <w:name w:val="footnote text"/>
    <w:basedOn w:val="a0"/>
    <w:link w:val="af8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aliases w:val="~PSD Footnote Reference"/>
    <w:uiPriority w:val="99"/>
    <w:rsid w:val="00512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compliance@t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20</Pages>
  <Words>4268</Words>
  <Characters>24331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Мануилов Владимир Юрьевич</cp:lastModifiedBy>
  <cp:revision>18</cp:revision>
  <dcterms:created xsi:type="dcterms:W3CDTF">2024-04-23T13:05:00Z</dcterms:created>
  <dcterms:modified xsi:type="dcterms:W3CDTF">2024-08-30T09:26:00Z</dcterms:modified>
</cp:coreProperties>
</file>