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1BA" w:rsidRDefault="003911BA" w:rsidP="003911B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Д.</w:t>
      </w:r>
    </w:p>
    <w:p w:rsidR="00EB425B" w:rsidRDefault="003911BA" w:rsidP="003911BA">
      <w:pPr>
        <w:jc w:val="right"/>
        <w:rPr>
          <w:rFonts w:ascii="Times New Roman" w:hAnsi="Times New Roman" w:cs="Times New Roman"/>
          <w:sz w:val="24"/>
        </w:rPr>
      </w:pPr>
      <w:r w:rsidRPr="003911BA">
        <w:rPr>
          <w:rFonts w:ascii="Times New Roman" w:hAnsi="Times New Roman" w:cs="Times New Roman"/>
          <w:sz w:val="24"/>
        </w:rPr>
        <w:t>Перечень программного обеспечения КПО и банк-клиентов.</w:t>
      </w:r>
    </w:p>
    <w:p w:rsidR="004612FB" w:rsidRDefault="004612FB" w:rsidP="003911BA">
      <w:pPr>
        <w:jc w:val="right"/>
        <w:rPr>
          <w:rFonts w:ascii="Times New Roman" w:hAnsi="Times New Roman" w:cs="Times New Roman"/>
          <w:sz w:val="24"/>
        </w:rPr>
      </w:pPr>
    </w:p>
    <w:p w:rsidR="004612FB" w:rsidRDefault="004612FB" w:rsidP="004612FB">
      <w:pPr>
        <w:pStyle w:val="ABody"/>
        <w:rPr>
          <w:lang w:val="ru-RU"/>
        </w:rPr>
      </w:pPr>
      <w:r>
        <w:rPr>
          <w:lang w:val="ru-RU"/>
        </w:rPr>
        <w:t xml:space="preserve">КПО состоит из  ОС </w:t>
      </w:r>
      <w:r>
        <w:t>Astra</w:t>
      </w:r>
      <w:r w:rsidRPr="007C70BE">
        <w:rPr>
          <w:lang w:val="ru-RU"/>
        </w:rPr>
        <w:t xml:space="preserve"> </w:t>
      </w:r>
      <w:r>
        <w:t>Linux</w:t>
      </w:r>
      <w:r>
        <w:rPr>
          <w:lang w:val="ru-RU"/>
        </w:rPr>
        <w:t xml:space="preserve"> (редакция «Орел») и ПО:</w:t>
      </w:r>
    </w:p>
    <w:p w:rsidR="004612FB" w:rsidRPr="00306C6A" w:rsidRDefault="004612FB" w:rsidP="004612FB">
      <w:pPr>
        <w:pStyle w:val="AList2bullet"/>
        <w:rPr>
          <w:lang w:val="ru-RU"/>
        </w:rPr>
      </w:pPr>
      <w:r w:rsidRPr="00306C6A">
        <w:rPr>
          <w:lang w:val="ru-RU"/>
        </w:rPr>
        <w:t>Перечень ПО для офисных АРМ включает в себя:</w:t>
      </w:r>
    </w:p>
    <w:p w:rsidR="004612FB" w:rsidRPr="003D4083" w:rsidRDefault="004612FB" w:rsidP="004612FB">
      <w:pPr>
        <w:pStyle w:val="AList3bullet"/>
        <w:rPr>
          <w:lang w:val="ru-RU"/>
        </w:rPr>
      </w:pPr>
      <w:proofErr w:type="spellStart"/>
      <w:r w:rsidRPr="003D4083">
        <w:t>Remmina</w:t>
      </w:r>
      <w:proofErr w:type="spellEnd"/>
      <w:r>
        <w:rPr>
          <w:lang w:val="ru-RU"/>
        </w:rPr>
        <w:t>;</w:t>
      </w:r>
    </w:p>
    <w:p w:rsidR="004612FB" w:rsidRDefault="004612FB" w:rsidP="004612FB">
      <w:pPr>
        <w:pStyle w:val="AList3bullet"/>
      </w:pPr>
      <w:r>
        <w:rPr>
          <w:lang w:val="ru-RU"/>
        </w:rPr>
        <w:t>Агент</w:t>
      </w:r>
      <w:r w:rsidRPr="005A3BB9">
        <w:t xml:space="preserve"> </w:t>
      </w:r>
      <w:r w:rsidRPr="003D4083">
        <w:t>Kaspersky</w:t>
      </w:r>
      <w:r w:rsidRPr="005A3BB9">
        <w:t xml:space="preserve"> </w:t>
      </w:r>
      <w:r w:rsidRPr="003D4083">
        <w:t>Antivirus</w:t>
      </w:r>
      <w:r w:rsidRPr="005A3BB9">
        <w:t xml:space="preserve"> </w:t>
      </w:r>
      <w:r>
        <w:rPr>
          <w:lang w:val="ru-RU"/>
        </w:rPr>
        <w:t>для</w:t>
      </w:r>
      <w:r w:rsidRPr="005A3BB9">
        <w:t xml:space="preserve"> </w:t>
      </w:r>
      <w:r>
        <w:t>Linux</w:t>
      </w:r>
      <w:r w:rsidRPr="00604D5E">
        <w:t>;</w:t>
      </w:r>
      <w:r w:rsidRPr="005A3BB9">
        <w:t xml:space="preserve"> </w:t>
      </w:r>
    </w:p>
    <w:p w:rsidR="00A957C1" w:rsidRPr="005A3BB9" w:rsidRDefault="00A957C1" w:rsidP="004612FB">
      <w:pPr>
        <w:pStyle w:val="AList3bullet"/>
      </w:pPr>
      <w:r w:rsidRPr="003D4083">
        <w:t>Kaspersky</w:t>
      </w:r>
      <w:r w:rsidRPr="005A3BB9">
        <w:t xml:space="preserve"> </w:t>
      </w:r>
      <w:r>
        <w:t xml:space="preserve">Endpoint </w:t>
      </w:r>
      <w:r w:rsidRPr="003D4083">
        <w:t>Antivirus</w:t>
      </w:r>
      <w:r>
        <w:t xml:space="preserve"> </w:t>
      </w:r>
      <w:r>
        <w:rPr>
          <w:lang w:val="ru-RU"/>
        </w:rPr>
        <w:t>для</w:t>
      </w:r>
      <w:r w:rsidRPr="005A3BB9">
        <w:t xml:space="preserve"> </w:t>
      </w:r>
      <w:r>
        <w:t>Linux</w:t>
      </w:r>
    </w:p>
    <w:p w:rsidR="004612FB" w:rsidRPr="003D4083" w:rsidRDefault="004612FB" w:rsidP="004612FB">
      <w:pPr>
        <w:pStyle w:val="AList3bullet"/>
        <w:rPr>
          <w:lang w:val="ru-RU"/>
        </w:rPr>
      </w:pPr>
      <w:r w:rsidRPr="003D4083">
        <w:t>Staffcop</w:t>
      </w:r>
      <w:r>
        <w:rPr>
          <w:lang w:val="ru-RU"/>
        </w:rPr>
        <w:t>;</w:t>
      </w:r>
      <w:r w:rsidRPr="003D4083">
        <w:rPr>
          <w:lang w:val="ru-RU"/>
        </w:rPr>
        <w:t xml:space="preserve"> </w:t>
      </w:r>
    </w:p>
    <w:p w:rsidR="004612FB" w:rsidRDefault="004612FB" w:rsidP="004612FB">
      <w:pPr>
        <w:pStyle w:val="AList3bullet"/>
        <w:rPr>
          <w:lang w:val="ru-RU"/>
        </w:rPr>
      </w:pPr>
      <w:r w:rsidRPr="003D4083">
        <w:rPr>
          <w:lang w:val="ru-RU"/>
        </w:rPr>
        <w:t>Ассистент</w:t>
      </w:r>
      <w:r>
        <w:rPr>
          <w:lang w:val="ru-RU"/>
        </w:rPr>
        <w:t>;</w:t>
      </w:r>
    </w:p>
    <w:p w:rsidR="004612FB" w:rsidRPr="003D4083" w:rsidRDefault="004612FB" w:rsidP="004612FB">
      <w:pPr>
        <w:pStyle w:val="AList3bullet"/>
        <w:rPr>
          <w:lang w:val="ru-RU"/>
        </w:rPr>
      </w:pPr>
      <w:r w:rsidRPr="003D4083">
        <w:rPr>
          <w:lang w:val="ru-RU"/>
        </w:rPr>
        <w:t xml:space="preserve">веб-браузер </w:t>
      </w:r>
      <w:r w:rsidRPr="003D4083">
        <w:t>Yandex</w:t>
      </w:r>
      <w:r w:rsidRPr="003D4083">
        <w:rPr>
          <w:lang w:val="ru-RU"/>
        </w:rPr>
        <w:t>.</w:t>
      </w:r>
      <w:r w:rsidRPr="003D4083">
        <w:t>Browser</w:t>
      </w:r>
      <w:r>
        <w:rPr>
          <w:lang w:val="ru-RU"/>
        </w:rPr>
        <w:t>;</w:t>
      </w:r>
      <w:r w:rsidRPr="003D4083">
        <w:rPr>
          <w:lang w:val="ru-RU"/>
        </w:rPr>
        <w:t xml:space="preserve"> </w:t>
      </w:r>
    </w:p>
    <w:p w:rsidR="004612FB" w:rsidRPr="003D4083" w:rsidRDefault="004612FB" w:rsidP="004612FB">
      <w:pPr>
        <w:pStyle w:val="AList3bullet"/>
        <w:rPr>
          <w:lang w:val="ru-RU"/>
        </w:rPr>
      </w:pPr>
      <w:r w:rsidRPr="003D4083">
        <w:rPr>
          <w:lang w:val="ru-RU"/>
        </w:rPr>
        <w:t xml:space="preserve">веб-браузер </w:t>
      </w:r>
      <w:r w:rsidRPr="003D4083">
        <w:t>Chromium</w:t>
      </w:r>
      <w:r>
        <w:rPr>
          <w:lang w:val="ru-RU"/>
        </w:rPr>
        <w:t>;</w:t>
      </w:r>
    </w:p>
    <w:p w:rsidR="004612FB" w:rsidRDefault="004612FB" w:rsidP="004612FB">
      <w:pPr>
        <w:pStyle w:val="AList3bullet"/>
        <w:rPr>
          <w:lang w:val="ru-RU"/>
        </w:rPr>
      </w:pPr>
      <w:r w:rsidRPr="003D4083">
        <w:rPr>
          <w:lang w:val="ru-RU"/>
        </w:rPr>
        <w:t xml:space="preserve">веб-браузер </w:t>
      </w:r>
      <w:r w:rsidRPr="003D4083">
        <w:t>Chromium Ghost</w:t>
      </w:r>
      <w:r>
        <w:rPr>
          <w:lang w:val="ru-RU"/>
        </w:rPr>
        <w:t>;</w:t>
      </w:r>
    </w:p>
    <w:p w:rsidR="004612FB" w:rsidRPr="00604D5E" w:rsidRDefault="004612FB" w:rsidP="004612FB">
      <w:pPr>
        <w:pStyle w:val="AList3bullet"/>
        <w:rPr>
          <w:lang w:val="ru-RU"/>
        </w:rPr>
      </w:pPr>
      <w:r w:rsidRPr="00604D5E">
        <w:rPr>
          <w:lang w:val="ru-RU"/>
        </w:rPr>
        <w:t>средство просмотра PDF</w:t>
      </w:r>
      <w:r>
        <w:rPr>
          <w:lang w:val="ru-RU"/>
        </w:rPr>
        <w:t>-файлов</w:t>
      </w:r>
      <w:r w:rsidRPr="00604D5E">
        <w:rPr>
          <w:lang w:val="ru-RU"/>
        </w:rPr>
        <w:t xml:space="preserve"> </w:t>
      </w:r>
      <w:proofErr w:type="spellStart"/>
      <w:r w:rsidRPr="00604D5E">
        <w:rPr>
          <w:lang w:val="ru-RU"/>
        </w:rPr>
        <w:t>Okular</w:t>
      </w:r>
      <w:proofErr w:type="spellEnd"/>
      <w:r>
        <w:rPr>
          <w:lang w:val="ru-RU"/>
        </w:rPr>
        <w:t>;</w:t>
      </w:r>
    </w:p>
    <w:p w:rsidR="004612FB" w:rsidRPr="00604D5E" w:rsidRDefault="004612FB" w:rsidP="004612FB">
      <w:pPr>
        <w:pStyle w:val="AList3bullet"/>
        <w:rPr>
          <w:lang w:val="ru-RU"/>
        </w:rPr>
      </w:pPr>
      <w:r w:rsidRPr="00604D5E">
        <w:rPr>
          <w:lang w:val="ru-RU"/>
        </w:rPr>
        <w:t xml:space="preserve">средство просмотра графических файлов </w:t>
      </w:r>
      <w:proofErr w:type="spellStart"/>
      <w:r w:rsidRPr="00604D5E">
        <w:rPr>
          <w:lang w:val="ru-RU"/>
        </w:rPr>
        <w:t>Gwenview</w:t>
      </w:r>
      <w:proofErr w:type="spellEnd"/>
      <w:r>
        <w:rPr>
          <w:lang w:val="ru-RU"/>
        </w:rPr>
        <w:t>;</w:t>
      </w:r>
    </w:p>
    <w:p w:rsidR="004612FB" w:rsidRPr="00604D5E" w:rsidRDefault="004612FB" w:rsidP="004612FB">
      <w:pPr>
        <w:pStyle w:val="AList3bullet"/>
        <w:rPr>
          <w:lang w:val="ru-RU"/>
        </w:rPr>
      </w:pPr>
      <w:r w:rsidRPr="00604D5E">
        <w:rPr>
          <w:lang w:val="ru-RU"/>
        </w:rPr>
        <w:t xml:space="preserve">средство просмотра </w:t>
      </w:r>
      <w:proofErr w:type="spellStart"/>
      <w:r w:rsidRPr="00604D5E">
        <w:rPr>
          <w:lang w:val="ru-RU"/>
        </w:rPr>
        <w:t>медиафайлов</w:t>
      </w:r>
      <w:proofErr w:type="spellEnd"/>
      <w:r w:rsidRPr="00604D5E">
        <w:rPr>
          <w:lang w:val="ru-RU"/>
        </w:rPr>
        <w:t xml:space="preserve"> </w:t>
      </w:r>
      <w:r>
        <w:t>VLC</w:t>
      </w:r>
      <w:r>
        <w:rPr>
          <w:lang w:val="ru-RU"/>
        </w:rPr>
        <w:t>;</w:t>
      </w:r>
    </w:p>
    <w:p w:rsidR="004612FB" w:rsidRPr="00604D5E" w:rsidRDefault="004612FB" w:rsidP="004612FB">
      <w:pPr>
        <w:pStyle w:val="AList3bullet"/>
        <w:rPr>
          <w:lang w:val="ru-RU"/>
        </w:rPr>
      </w:pPr>
      <w:r w:rsidRPr="00604D5E">
        <w:rPr>
          <w:lang w:val="ru-RU"/>
        </w:rPr>
        <w:t xml:space="preserve">офисный пакет </w:t>
      </w:r>
      <w:proofErr w:type="spellStart"/>
      <w:r w:rsidRPr="00604D5E">
        <w:rPr>
          <w:lang w:val="ru-RU"/>
        </w:rPr>
        <w:t>LibreOffice</w:t>
      </w:r>
      <w:proofErr w:type="spellEnd"/>
      <w:r>
        <w:rPr>
          <w:lang w:val="ru-RU"/>
        </w:rPr>
        <w:t>;</w:t>
      </w:r>
    </w:p>
    <w:p w:rsidR="004612FB" w:rsidRDefault="004612FB" w:rsidP="004612FB">
      <w:pPr>
        <w:pStyle w:val="AList3bullet"/>
        <w:rPr>
          <w:lang w:val="ru-RU"/>
        </w:rPr>
      </w:pPr>
      <w:r w:rsidRPr="00604D5E">
        <w:rPr>
          <w:lang w:val="ru-RU"/>
        </w:rPr>
        <w:t xml:space="preserve">менеджер архивов </w:t>
      </w:r>
      <w:proofErr w:type="spellStart"/>
      <w:r w:rsidRPr="00604D5E">
        <w:rPr>
          <w:lang w:val="ru-RU"/>
        </w:rPr>
        <w:t>Ark</w:t>
      </w:r>
      <w:proofErr w:type="spellEnd"/>
      <w:r>
        <w:rPr>
          <w:lang w:val="ru-RU"/>
        </w:rPr>
        <w:t>;</w:t>
      </w:r>
    </w:p>
    <w:p w:rsidR="004612FB" w:rsidRPr="00306C6A" w:rsidRDefault="004612FB" w:rsidP="004612FB">
      <w:pPr>
        <w:pStyle w:val="AList2bullet"/>
        <w:rPr>
          <w:lang w:val="ru-RU"/>
        </w:rPr>
      </w:pPr>
      <w:r w:rsidRPr="00306C6A">
        <w:rPr>
          <w:lang w:val="ru-RU"/>
        </w:rPr>
        <w:t>Перечень ПО АРМ удаленной работы включает в себя:</w:t>
      </w:r>
    </w:p>
    <w:p w:rsidR="004612FB" w:rsidRPr="00306C6A" w:rsidRDefault="004612FB" w:rsidP="004612FB">
      <w:pPr>
        <w:pStyle w:val="AList3bullet"/>
        <w:rPr>
          <w:lang w:val="ru-RU"/>
        </w:rPr>
      </w:pPr>
      <w:r w:rsidRPr="00306C6A">
        <w:rPr>
          <w:lang w:val="ru-RU"/>
        </w:rPr>
        <w:t>Перечень ПО для офисных АРМ и, в дополнение, клиентское ПО для реализации защищенного удаленного доступа к инфраструктуре Заказчика:</w:t>
      </w:r>
    </w:p>
    <w:p w:rsidR="004612FB" w:rsidRPr="00A957C1" w:rsidRDefault="004612FB" w:rsidP="004612FB">
      <w:pPr>
        <w:pStyle w:val="AList3bullet"/>
        <w:rPr>
          <w:lang w:val="ru-RU"/>
        </w:rPr>
      </w:pPr>
      <w:r>
        <w:rPr>
          <w:lang w:val="ru-RU"/>
        </w:rPr>
        <w:t xml:space="preserve">Клиентское ПО </w:t>
      </w:r>
      <w:r w:rsidRPr="00A957C1">
        <w:rPr>
          <w:lang w:val="ru-RU"/>
        </w:rPr>
        <w:t>Континент</w:t>
      </w:r>
      <w:r w:rsidR="00A957C1" w:rsidRPr="00A957C1">
        <w:rPr>
          <w:lang w:val="ru-RU"/>
        </w:rPr>
        <w:t xml:space="preserve"> </w:t>
      </w:r>
      <w:r w:rsidR="00A957C1">
        <w:t>ZTN</w:t>
      </w:r>
      <w:r w:rsidR="00A957C1" w:rsidRPr="00A957C1">
        <w:rPr>
          <w:lang w:val="ru-RU"/>
        </w:rPr>
        <w:t xml:space="preserve"> </w:t>
      </w:r>
      <w:r w:rsidR="00A957C1">
        <w:rPr>
          <w:lang w:val="ru-RU"/>
        </w:rPr>
        <w:t>клиент;</w:t>
      </w:r>
    </w:p>
    <w:p w:rsidR="004612FB" w:rsidRPr="007A2956" w:rsidRDefault="004612FB" w:rsidP="007A2956">
      <w:pPr>
        <w:pStyle w:val="AList2bullet"/>
        <w:rPr>
          <w:lang w:val="ru-RU"/>
        </w:rPr>
      </w:pPr>
      <w:r>
        <w:rPr>
          <w:lang w:val="ru-RU"/>
        </w:rPr>
        <w:t>На АРМ в</w:t>
      </w:r>
      <w:r w:rsidRPr="00604D5E">
        <w:rPr>
          <w:lang w:val="ru-RU"/>
        </w:rPr>
        <w:t xml:space="preserve">ыборочно устанавливается ПО </w:t>
      </w:r>
      <w:proofErr w:type="spellStart"/>
      <w:r w:rsidRPr="00604D5E">
        <w:rPr>
          <w:lang w:val="ru-RU"/>
        </w:rPr>
        <w:t>КриптоПРО</w:t>
      </w:r>
      <w:proofErr w:type="spellEnd"/>
      <w:r w:rsidRPr="00604D5E">
        <w:rPr>
          <w:lang w:val="ru-RU"/>
        </w:rPr>
        <w:t xml:space="preserve"> </w:t>
      </w:r>
      <w:r>
        <w:t>CSP</w:t>
      </w:r>
      <w:r>
        <w:rPr>
          <w:lang w:val="ru-RU"/>
        </w:rPr>
        <w:t xml:space="preserve">, Установка выполняется </w:t>
      </w:r>
      <w:r w:rsidRPr="00604D5E">
        <w:rPr>
          <w:lang w:val="ru-RU"/>
        </w:rPr>
        <w:t>в ручном режиме</w:t>
      </w:r>
      <w:r>
        <w:rPr>
          <w:lang w:val="ru-RU"/>
        </w:rPr>
        <w:t>.</w:t>
      </w:r>
      <w:r w:rsidR="00967E56">
        <w:rPr>
          <w:lang w:val="ru-RU"/>
        </w:rPr>
        <w:t xml:space="preserve"> Исполнитель не предоставляет лицензии на ПО</w:t>
      </w:r>
      <w:r w:rsidR="00037C26">
        <w:rPr>
          <w:lang w:val="ru-RU"/>
        </w:rPr>
        <w:t xml:space="preserve"> </w:t>
      </w:r>
      <w:proofErr w:type="spellStart"/>
      <w:r w:rsidR="00037C26" w:rsidRPr="00604D5E">
        <w:rPr>
          <w:lang w:val="ru-RU"/>
        </w:rPr>
        <w:t>КриптоПРО</w:t>
      </w:r>
      <w:proofErr w:type="spellEnd"/>
      <w:r w:rsidR="00037C26" w:rsidRPr="00604D5E">
        <w:rPr>
          <w:lang w:val="ru-RU"/>
        </w:rPr>
        <w:t xml:space="preserve"> </w:t>
      </w:r>
      <w:r w:rsidR="00037C26">
        <w:t>CSP</w:t>
      </w:r>
      <w:r w:rsidR="00967E56">
        <w:rPr>
          <w:lang w:val="ru-RU"/>
        </w:rPr>
        <w:t xml:space="preserve"> в рамках оказания услуги.</w:t>
      </w:r>
      <w:bookmarkStart w:id="0" w:name="_GoBack"/>
      <w:bookmarkEnd w:id="0"/>
    </w:p>
    <w:p w:rsidR="004612FB" w:rsidRPr="00586E82" w:rsidRDefault="004612FB" w:rsidP="004612FB">
      <w:pPr>
        <w:pStyle w:val="ABody"/>
        <w:rPr>
          <w:lang w:val="ru-RU"/>
        </w:rPr>
      </w:pPr>
      <w:r>
        <w:rPr>
          <w:lang w:val="ru-RU"/>
        </w:rPr>
        <w:t xml:space="preserve">В таблице 1 приведены данные о совместимости имеющихся у Заказчика банк-клиентов с ОС </w:t>
      </w:r>
      <w:proofErr w:type="spellStart"/>
      <w:r w:rsidRPr="00F32DE1">
        <w:rPr>
          <w:lang w:val="ru-RU"/>
        </w:rPr>
        <w:t>Astra</w:t>
      </w:r>
      <w:proofErr w:type="spellEnd"/>
      <w:r w:rsidRPr="00206CB2">
        <w:rPr>
          <w:lang w:val="ru-RU"/>
        </w:rPr>
        <w:t xml:space="preserve"> </w:t>
      </w:r>
      <w:proofErr w:type="spellStart"/>
      <w:r w:rsidRPr="00F32DE1">
        <w:rPr>
          <w:lang w:val="ru-RU"/>
        </w:rPr>
        <w:t>Linux</w:t>
      </w:r>
      <w:proofErr w:type="spellEnd"/>
      <w:r>
        <w:rPr>
          <w:lang w:val="ru-RU"/>
        </w:rPr>
        <w:t xml:space="preserve">. </w:t>
      </w:r>
    </w:p>
    <w:p w:rsidR="004612FB" w:rsidRDefault="004612FB" w:rsidP="004612FB">
      <w:pPr>
        <w:pStyle w:val="AListbullet"/>
        <w:numPr>
          <w:ilvl w:val="0"/>
          <w:numId w:val="0"/>
        </w:numPr>
        <w:ind w:left="284" w:firstLine="567"/>
        <w:rPr>
          <w:lang w:val="ru-RU"/>
        </w:rPr>
      </w:pPr>
    </w:p>
    <w:p w:rsidR="004612FB" w:rsidRDefault="004612FB" w:rsidP="004612FB">
      <w:pPr>
        <w:pStyle w:val="AListbullet"/>
        <w:numPr>
          <w:ilvl w:val="0"/>
          <w:numId w:val="0"/>
        </w:numPr>
        <w:ind w:left="284" w:firstLine="567"/>
        <w:rPr>
          <w:lang w:val="ru-RU"/>
        </w:rPr>
      </w:pPr>
      <w:r>
        <w:rPr>
          <w:lang w:val="ru-RU"/>
        </w:rPr>
        <w:t>Таблица 1. Список используемых банк-клиентов.</w:t>
      </w:r>
    </w:p>
    <w:tbl>
      <w:tblPr>
        <w:tblStyle w:val="12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370"/>
        <w:gridCol w:w="1315"/>
        <w:gridCol w:w="5469"/>
      </w:tblGrid>
      <w:tr w:rsidR="004612FB" w:rsidRPr="00D705C5" w:rsidTr="00A24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bottom w:val="none" w:sz="0" w:space="0" w:color="auto"/>
            </w:tcBorders>
          </w:tcPr>
          <w:p w:rsidR="004612FB" w:rsidRPr="00372A51" w:rsidRDefault="004612FB" w:rsidP="00A24CD3">
            <w:pPr>
              <w:pStyle w:val="ATableColumnName"/>
              <w:rPr>
                <w:rFonts w:ascii="Times New Roman" w:hAnsi="Times New Roman" w:cs="Times New Roman"/>
              </w:rPr>
            </w:pPr>
            <w:r w:rsidRPr="00372A51">
              <w:rPr>
                <w:rFonts w:ascii="Times New Roman" w:hAnsi="Times New Roman" w:cs="Times New Roman"/>
              </w:rPr>
              <w:t xml:space="preserve">Название </w:t>
            </w:r>
            <w:r>
              <w:rPr>
                <w:rFonts w:ascii="Times New Roman" w:hAnsi="Times New Roman" w:cs="Times New Roman"/>
              </w:rPr>
              <w:t>Банк-клиента</w:t>
            </w:r>
          </w:p>
        </w:tc>
        <w:tc>
          <w:tcPr>
            <w:tcW w:w="1468" w:type="dxa"/>
            <w:tcBorders>
              <w:bottom w:val="none" w:sz="0" w:space="0" w:color="auto"/>
            </w:tcBorders>
          </w:tcPr>
          <w:p w:rsidR="004612FB" w:rsidRPr="00372A51" w:rsidRDefault="004612FB" w:rsidP="00A24CD3">
            <w:pPr>
              <w:pStyle w:val="ATableColumnNam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 ПО</w:t>
            </w:r>
          </w:p>
        </w:tc>
        <w:tc>
          <w:tcPr>
            <w:tcW w:w="6210" w:type="dxa"/>
            <w:tcBorders>
              <w:bottom w:val="none" w:sz="0" w:space="0" w:color="auto"/>
            </w:tcBorders>
          </w:tcPr>
          <w:p w:rsidR="004612FB" w:rsidRPr="00372A51" w:rsidRDefault="004612FB" w:rsidP="00A24CD3">
            <w:pPr>
              <w:pStyle w:val="ATableColumnNam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</w:t>
            </w:r>
            <w:r w:rsidRPr="00372A51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настройке банк-клиента под </w:t>
            </w:r>
            <w:r w:rsidRPr="003E705F">
              <w:t xml:space="preserve">ОС </w:t>
            </w:r>
            <w:proofErr w:type="spellStart"/>
            <w:r>
              <w:t>Astra</w:t>
            </w:r>
            <w:proofErr w:type="spellEnd"/>
            <w:r w:rsidRPr="003E705F">
              <w:t xml:space="preserve"> </w:t>
            </w:r>
            <w:proofErr w:type="spellStart"/>
            <w:r>
              <w:t>Linux</w:t>
            </w:r>
            <w:proofErr w:type="spellEnd"/>
          </w:p>
        </w:tc>
      </w:tr>
      <w:tr w:rsidR="004612FB" w:rsidRPr="00D705C5" w:rsidTr="00A24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Align w:val="center"/>
          </w:tcPr>
          <w:p w:rsidR="004612FB" w:rsidRPr="00114F90" w:rsidRDefault="004612FB" w:rsidP="00A24CD3">
            <w:pPr>
              <w:pStyle w:val="ATableBody"/>
            </w:pPr>
            <w:r>
              <w:rPr>
                <w:color w:val="000000"/>
                <w:szCs w:val="20"/>
              </w:rPr>
              <w:t>ПАО «Банк ВТБ»</w:t>
            </w:r>
          </w:p>
        </w:tc>
        <w:tc>
          <w:tcPr>
            <w:tcW w:w="1468" w:type="dxa"/>
          </w:tcPr>
          <w:p w:rsidR="004612FB" w:rsidRDefault="004612FB" w:rsidP="00A24CD3">
            <w:pPr>
              <w:pStyle w:val="A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BE5">
              <w:t>ООО "БСС"</w:t>
            </w:r>
          </w:p>
        </w:tc>
        <w:tc>
          <w:tcPr>
            <w:tcW w:w="6210" w:type="dxa"/>
          </w:tcPr>
          <w:p w:rsidR="004612FB" w:rsidRPr="00114F90" w:rsidRDefault="004612FB" w:rsidP="00A24CD3">
            <w:pPr>
              <w:pStyle w:val="A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5476">
              <w:t>ВТБ Бизнес-онлайн</w:t>
            </w:r>
          </w:p>
          <w:p w:rsidR="004612FB" w:rsidRPr="00114F90" w:rsidRDefault="007A2956" w:rsidP="00A24CD3">
            <w:pPr>
              <w:pStyle w:val="A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 w:rsidR="004612FB" w:rsidRPr="00114F90">
                <w:rPr>
                  <w:rStyle w:val="a3"/>
                </w:rPr>
                <w:t>https://www.vtb.ru/malyj-biznes/raschetnoe-obsluzhivanie/distancionnoe-obsluzhivanie/vtb-biznes-onlayn/</w:t>
              </w:r>
            </w:hyperlink>
          </w:p>
          <w:p w:rsidR="004612FB" w:rsidRPr="00114F90" w:rsidRDefault="004612FB" w:rsidP="00A24CD3">
            <w:pPr>
              <w:pStyle w:val="A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ВТБ Интернет-клиент</w:t>
            </w:r>
          </w:p>
          <w:p w:rsidR="004612FB" w:rsidRPr="00114F90" w:rsidRDefault="007A2956" w:rsidP="00A24CD3">
            <w:pPr>
              <w:pStyle w:val="A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="004612FB" w:rsidRPr="00114F90">
                <w:rPr>
                  <w:rStyle w:val="a3"/>
                </w:rPr>
                <w:t>https://www.vtb.ru/krupnyj-biznes/raschety/distancionnoe-bankovskoe-obsluzhivanie/internet-klient/</w:t>
              </w:r>
            </w:hyperlink>
          </w:p>
        </w:tc>
      </w:tr>
      <w:tr w:rsidR="004612FB" w:rsidRPr="00D705C5" w:rsidTr="00A24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Align w:val="center"/>
          </w:tcPr>
          <w:p w:rsidR="004612FB" w:rsidRPr="00DF642C" w:rsidRDefault="004612FB" w:rsidP="00A24CD3">
            <w:pPr>
              <w:pStyle w:val="ATableBody"/>
            </w:pPr>
            <w:r>
              <w:rPr>
                <w:color w:val="000000"/>
                <w:szCs w:val="20"/>
              </w:rPr>
              <w:t>АО «Банк ГПБ»</w:t>
            </w:r>
          </w:p>
        </w:tc>
        <w:tc>
          <w:tcPr>
            <w:tcW w:w="1468" w:type="dxa"/>
          </w:tcPr>
          <w:p w:rsidR="004612FB" w:rsidRPr="00372A51" w:rsidRDefault="004612FB" w:rsidP="00A24CD3">
            <w:pPr>
              <w:pStyle w:val="A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326B8">
              <w:t>ООО "БСС"</w:t>
            </w:r>
          </w:p>
        </w:tc>
        <w:tc>
          <w:tcPr>
            <w:tcW w:w="6210" w:type="dxa"/>
          </w:tcPr>
          <w:p w:rsidR="004612FB" w:rsidRDefault="007A2956" w:rsidP="00A24CD3">
            <w:pPr>
              <w:pStyle w:val="A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7" w:history="1">
              <w:r w:rsidR="004612FB" w:rsidRPr="00114F90">
                <w:rPr>
                  <w:rStyle w:val="a3"/>
                </w:rPr>
                <w:t>https://crypto.rosatom.ru/upload/iblock/542/Instruktsiya-po-pervichnomu-vkhodu-v-GPB-Klient_Bank-WEB.PDF</w:t>
              </w:r>
            </w:hyperlink>
          </w:p>
        </w:tc>
      </w:tr>
      <w:tr w:rsidR="004612FB" w:rsidRPr="00D705C5" w:rsidTr="00A24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Align w:val="center"/>
          </w:tcPr>
          <w:p w:rsidR="004612FB" w:rsidRPr="00DF642C" w:rsidRDefault="004612FB" w:rsidP="00A24CD3">
            <w:pPr>
              <w:pStyle w:val="ATableBody"/>
            </w:pPr>
            <w:r>
              <w:rPr>
                <w:color w:val="000000"/>
                <w:szCs w:val="20"/>
              </w:rPr>
              <w:lastRenderedPageBreak/>
              <w:t>АО «АБ «РОССИЯ»</w:t>
            </w:r>
          </w:p>
        </w:tc>
        <w:tc>
          <w:tcPr>
            <w:tcW w:w="1468" w:type="dxa"/>
          </w:tcPr>
          <w:p w:rsidR="004612FB" w:rsidRPr="00372A51" w:rsidRDefault="004612FB" w:rsidP="00A24CD3">
            <w:pPr>
              <w:pStyle w:val="A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26B8">
              <w:t>ООО "БСС"</w:t>
            </w:r>
          </w:p>
        </w:tc>
        <w:tc>
          <w:tcPr>
            <w:tcW w:w="6210" w:type="dxa"/>
          </w:tcPr>
          <w:p w:rsidR="004612FB" w:rsidRDefault="007A2956" w:rsidP="00A24CD3">
            <w:pPr>
              <w:pStyle w:val="A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4612FB" w:rsidRPr="00114F90">
                <w:rPr>
                  <w:rStyle w:val="a3"/>
                </w:rPr>
                <w:t>https://abr.ru/corp/remote-services/client-bank/</w:t>
              </w:r>
            </w:hyperlink>
          </w:p>
        </w:tc>
      </w:tr>
      <w:tr w:rsidR="004612FB" w:rsidRPr="00D705C5" w:rsidTr="00A24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Align w:val="center"/>
          </w:tcPr>
          <w:p w:rsidR="004612FB" w:rsidRPr="00DF642C" w:rsidRDefault="004612FB" w:rsidP="00A24CD3">
            <w:pPr>
              <w:pStyle w:val="ATableBody"/>
            </w:pPr>
            <w:r>
              <w:rPr>
                <w:color w:val="000000"/>
                <w:szCs w:val="20"/>
              </w:rPr>
              <w:t>АО «Райффайзенбанк»</w:t>
            </w:r>
          </w:p>
        </w:tc>
        <w:tc>
          <w:tcPr>
            <w:tcW w:w="1468" w:type="dxa"/>
          </w:tcPr>
          <w:p w:rsidR="004612FB" w:rsidRPr="00372A51" w:rsidRDefault="004612FB" w:rsidP="00A24CD3">
            <w:pPr>
              <w:pStyle w:val="A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326B8">
              <w:t>ООО "БСС"</w:t>
            </w:r>
          </w:p>
        </w:tc>
        <w:tc>
          <w:tcPr>
            <w:tcW w:w="6210" w:type="dxa"/>
          </w:tcPr>
          <w:p w:rsidR="004612FB" w:rsidRPr="00F32DE1" w:rsidRDefault="007A2956" w:rsidP="00A24CD3">
            <w:pPr>
              <w:pStyle w:val="A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4612FB" w:rsidRPr="000A7260">
                <w:rPr>
                  <w:rStyle w:val="a3"/>
                  <w:lang w:val="en-GB"/>
                </w:rPr>
                <w:t>https</w:t>
              </w:r>
              <w:r w:rsidR="004612FB" w:rsidRPr="008B358F">
                <w:rPr>
                  <w:rStyle w:val="a3"/>
                </w:rPr>
                <w:t>://</w:t>
              </w:r>
              <w:r w:rsidR="004612FB" w:rsidRPr="000A7260">
                <w:rPr>
                  <w:rStyle w:val="a3"/>
                  <w:lang w:val="en-GB"/>
                </w:rPr>
                <w:t>www</w:t>
              </w:r>
              <w:r w:rsidR="004612FB" w:rsidRPr="008B358F">
                <w:rPr>
                  <w:rStyle w:val="a3"/>
                </w:rPr>
                <w:t>.</w:t>
              </w:r>
              <w:proofErr w:type="spellStart"/>
              <w:r w:rsidR="004612FB" w:rsidRPr="000A7260">
                <w:rPr>
                  <w:rStyle w:val="a3"/>
                  <w:lang w:val="en-GB"/>
                </w:rPr>
                <w:t>raiffeisen</w:t>
              </w:r>
              <w:proofErr w:type="spellEnd"/>
              <w:r w:rsidR="004612FB" w:rsidRPr="008B358F">
                <w:rPr>
                  <w:rStyle w:val="a3"/>
                </w:rPr>
                <w:t>.</w:t>
              </w:r>
              <w:proofErr w:type="spellStart"/>
              <w:r w:rsidR="004612FB" w:rsidRPr="000A7260">
                <w:rPr>
                  <w:rStyle w:val="a3"/>
                  <w:lang w:val="en-GB"/>
                </w:rPr>
                <w:t>ru</w:t>
              </w:r>
              <w:proofErr w:type="spellEnd"/>
              <w:r w:rsidR="004612FB" w:rsidRPr="008B358F">
                <w:rPr>
                  <w:rStyle w:val="a3"/>
                </w:rPr>
                <w:t>/</w:t>
              </w:r>
              <w:r w:rsidR="004612FB" w:rsidRPr="000A7260">
                <w:rPr>
                  <w:rStyle w:val="a3"/>
                  <w:lang w:val="en-GB"/>
                </w:rPr>
                <w:t>business</w:t>
              </w:r>
              <w:r w:rsidR="004612FB" w:rsidRPr="008B358F">
                <w:rPr>
                  <w:rStyle w:val="a3"/>
                </w:rPr>
                <w:t>/</w:t>
              </w:r>
              <w:proofErr w:type="spellStart"/>
              <w:r w:rsidR="004612FB" w:rsidRPr="000A7260">
                <w:rPr>
                  <w:rStyle w:val="a3"/>
                  <w:lang w:val="en-GB"/>
                </w:rPr>
                <w:t>dist</w:t>
              </w:r>
              <w:proofErr w:type="spellEnd"/>
              <w:r w:rsidR="004612FB" w:rsidRPr="008B358F">
                <w:rPr>
                  <w:rStyle w:val="a3"/>
                </w:rPr>
                <w:t>/</w:t>
              </w:r>
              <w:proofErr w:type="spellStart"/>
              <w:r w:rsidR="004612FB" w:rsidRPr="000A7260">
                <w:rPr>
                  <w:rStyle w:val="a3"/>
                  <w:lang w:val="en-GB"/>
                </w:rPr>
                <w:t>rbo</w:t>
              </w:r>
              <w:proofErr w:type="spellEnd"/>
              <w:r w:rsidR="004612FB" w:rsidRPr="008B358F">
                <w:rPr>
                  <w:rStyle w:val="a3"/>
                </w:rPr>
                <w:t>/</w:t>
              </w:r>
            </w:hyperlink>
          </w:p>
        </w:tc>
      </w:tr>
      <w:tr w:rsidR="004612FB" w:rsidRPr="00D705C5" w:rsidTr="00A24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Align w:val="center"/>
          </w:tcPr>
          <w:p w:rsidR="004612FB" w:rsidRPr="00DF642C" w:rsidRDefault="004612FB" w:rsidP="00A24CD3">
            <w:pPr>
              <w:pStyle w:val="ATableBody"/>
            </w:pPr>
            <w:r>
              <w:rPr>
                <w:color w:val="000000"/>
                <w:szCs w:val="20"/>
              </w:rPr>
              <w:t>АО АКБ «НОВИКОМБАНК»</w:t>
            </w:r>
          </w:p>
        </w:tc>
        <w:tc>
          <w:tcPr>
            <w:tcW w:w="1468" w:type="dxa"/>
          </w:tcPr>
          <w:p w:rsidR="004612FB" w:rsidRPr="00372A51" w:rsidRDefault="004612FB" w:rsidP="00A24CD3">
            <w:pPr>
              <w:pStyle w:val="A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26B8">
              <w:t>ООО "БСС"</w:t>
            </w:r>
          </w:p>
        </w:tc>
        <w:tc>
          <w:tcPr>
            <w:tcW w:w="6210" w:type="dxa"/>
          </w:tcPr>
          <w:p w:rsidR="004612FB" w:rsidRDefault="007A2956" w:rsidP="00A24CD3">
            <w:pPr>
              <w:pStyle w:val="A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4612FB" w:rsidRPr="00114F90">
                <w:rPr>
                  <w:rStyle w:val="a3"/>
                </w:rPr>
                <w:t>https://novikom.ru/documents/instruktsiya-po-ustanovke-i-nastroyke-dbo-correqts.pdf</w:t>
              </w:r>
            </w:hyperlink>
          </w:p>
        </w:tc>
      </w:tr>
      <w:tr w:rsidR="004612FB" w:rsidRPr="00D705C5" w:rsidTr="00A24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Align w:val="center"/>
          </w:tcPr>
          <w:p w:rsidR="004612FB" w:rsidRPr="00DF642C" w:rsidRDefault="004612FB" w:rsidP="00A24CD3">
            <w:pPr>
              <w:pStyle w:val="ATableBody"/>
            </w:pPr>
            <w:r>
              <w:rPr>
                <w:color w:val="000000"/>
                <w:szCs w:val="20"/>
              </w:rPr>
              <w:t xml:space="preserve">АО «Альфа-Банк»  (Альфа-клиент </w:t>
            </w:r>
            <w:proofErr w:type="spellStart"/>
            <w:r>
              <w:rPr>
                <w:color w:val="000000"/>
                <w:szCs w:val="20"/>
              </w:rPr>
              <w:t>On-line</w:t>
            </w:r>
            <w:proofErr w:type="spellEnd"/>
            <w:r>
              <w:rPr>
                <w:color w:val="000000"/>
                <w:szCs w:val="20"/>
              </w:rPr>
              <w:t xml:space="preserve"> и Альфа-Бизнес Онлайн)</w:t>
            </w:r>
          </w:p>
        </w:tc>
        <w:tc>
          <w:tcPr>
            <w:tcW w:w="1468" w:type="dxa"/>
          </w:tcPr>
          <w:p w:rsidR="004612FB" w:rsidRPr="00372A51" w:rsidRDefault="004612FB" w:rsidP="00A24CD3">
            <w:pPr>
              <w:pStyle w:val="A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326B8">
              <w:t>ООО "БСС"</w:t>
            </w:r>
          </w:p>
        </w:tc>
        <w:tc>
          <w:tcPr>
            <w:tcW w:w="6210" w:type="dxa"/>
          </w:tcPr>
          <w:p w:rsidR="004612FB" w:rsidRPr="00114F90" w:rsidRDefault="004612FB" w:rsidP="00A24CD3">
            <w:pPr>
              <w:pStyle w:val="A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100E">
              <w:t>«Альфа-Бизнес Онлайн»</w:t>
            </w:r>
          </w:p>
          <w:p w:rsidR="004612FB" w:rsidRPr="00114F90" w:rsidRDefault="007A2956" w:rsidP="00A24CD3">
            <w:pPr>
              <w:pStyle w:val="A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1" w:history="1">
              <w:r w:rsidR="004612FB" w:rsidRPr="00114F90">
                <w:rPr>
                  <w:rStyle w:val="a3"/>
                </w:rPr>
                <w:t>https://alfabank.servicecdn.ru/site-upload/ec/fd/2304/user_guide_ALBO.pdf</w:t>
              </w:r>
            </w:hyperlink>
          </w:p>
          <w:p w:rsidR="004612FB" w:rsidRPr="00114F90" w:rsidRDefault="004612FB" w:rsidP="00A24CD3">
            <w:pPr>
              <w:pStyle w:val="A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71387">
              <w:t xml:space="preserve">«Альфа-клиент </w:t>
            </w:r>
            <w:proofErr w:type="spellStart"/>
            <w:r w:rsidRPr="00971387">
              <w:t>On-line</w:t>
            </w:r>
            <w:proofErr w:type="spellEnd"/>
            <w:r w:rsidRPr="00971387">
              <w:t>»</w:t>
            </w:r>
          </w:p>
          <w:p w:rsidR="004612FB" w:rsidRPr="00114F90" w:rsidRDefault="007A2956" w:rsidP="00A24CD3">
            <w:pPr>
              <w:pStyle w:val="A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2" w:history="1">
              <w:r w:rsidR="004612FB" w:rsidRPr="00114F90">
                <w:rPr>
                  <w:rStyle w:val="a3"/>
                </w:rPr>
                <w:t>https://ibank.alfabank.ru/ALFAIBS32/help/help.html</w:t>
              </w:r>
            </w:hyperlink>
          </w:p>
          <w:p w:rsidR="004612FB" w:rsidRDefault="004612FB" w:rsidP="00A24CD3">
            <w:pPr>
              <w:pStyle w:val="A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12FB" w:rsidRPr="00D705C5" w:rsidTr="00A24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Align w:val="center"/>
          </w:tcPr>
          <w:p w:rsidR="004612FB" w:rsidRPr="00DF642C" w:rsidRDefault="004612FB" w:rsidP="00A24CD3">
            <w:pPr>
              <w:pStyle w:val="ATableBody"/>
            </w:pPr>
            <w:r>
              <w:rPr>
                <w:color w:val="000000"/>
                <w:szCs w:val="20"/>
              </w:rPr>
              <w:t>ПАО Сбербанк (</w:t>
            </w:r>
            <w:proofErr w:type="spellStart"/>
            <w:r>
              <w:rPr>
                <w:color w:val="000000"/>
                <w:szCs w:val="20"/>
              </w:rPr>
              <w:t>СберБизнес</w:t>
            </w:r>
            <w:proofErr w:type="spellEnd"/>
            <w:r>
              <w:rPr>
                <w:color w:val="000000"/>
                <w:szCs w:val="20"/>
              </w:rPr>
              <w:t>)</w:t>
            </w:r>
          </w:p>
        </w:tc>
        <w:tc>
          <w:tcPr>
            <w:tcW w:w="1468" w:type="dxa"/>
          </w:tcPr>
          <w:p w:rsidR="004612FB" w:rsidRPr="00372A51" w:rsidRDefault="004612FB" w:rsidP="00A24CD3">
            <w:pPr>
              <w:pStyle w:val="A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26B8">
              <w:t>ООО "БСС"</w:t>
            </w:r>
          </w:p>
        </w:tc>
        <w:tc>
          <w:tcPr>
            <w:tcW w:w="6210" w:type="dxa"/>
          </w:tcPr>
          <w:p w:rsidR="004612FB" w:rsidRDefault="007A2956" w:rsidP="00A24CD3">
            <w:pPr>
              <w:pStyle w:val="A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4612FB" w:rsidRPr="00114F90">
                <w:rPr>
                  <w:rStyle w:val="a3"/>
                </w:rPr>
                <w:t>https://www.sberbank.ru/help/business/sbbol/100581</w:t>
              </w:r>
            </w:hyperlink>
          </w:p>
        </w:tc>
      </w:tr>
      <w:tr w:rsidR="004612FB" w:rsidRPr="00D705C5" w:rsidTr="00A24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Align w:val="center"/>
          </w:tcPr>
          <w:p w:rsidR="004612FB" w:rsidRPr="00DF642C" w:rsidRDefault="004612FB" w:rsidP="00A24CD3">
            <w:pPr>
              <w:pStyle w:val="ATableBody"/>
            </w:pPr>
            <w:r>
              <w:rPr>
                <w:color w:val="000000"/>
                <w:szCs w:val="20"/>
              </w:rPr>
              <w:t>ПАО «</w:t>
            </w:r>
            <w:proofErr w:type="spellStart"/>
            <w:r>
              <w:rPr>
                <w:color w:val="000000"/>
                <w:szCs w:val="20"/>
              </w:rPr>
              <w:t>Совкомбанк</w:t>
            </w:r>
            <w:proofErr w:type="spellEnd"/>
            <w:r>
              <w:rPr>
                <w:color w:val="000000"/>
                <w:szCs w:val="20"/>
              </w:rPr>
              <w:t>»</w:t>
            </w:r>
          </w:p>
        </w:tc>
        <w:tc>
          <w:tcPr>
            <w:tcW w:w="1468" w:type="dxa"/>
          </w:tcPr>
          <w:p w:rsidR="004612FB" w:rsidRPr="00372A51" w:rsidRDefault="004612FB" w:rsidP="00A24CD3">
            <w:pPr>
              <w:pStyle w:val="A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326B8">
              <w:t>ООО "БСС"</w:t>
            </w:r>
          </w:p>
        </w:tc>
        <w:tc>
          <w:tcPr>
            <w:tcW w:w="6210" w:type="dxa"/>
          </w:tcPr>
          <w:p w:rsidR="004612FB" w:rsidRDefault="007A2956" w:rsidP="00A24CD3">
            <w:pPr>
              <w:pStyle w:val="A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4" w:history="1">
              <w:r w:rsidR="004612FB" w:rsidRPr="00114F90">
                <w:rPr>
                  <w:rStyle w:val="a3"/>
                </w:rPr>
                <w:t>https://bk.sovcombank.ru/ru/html/setupInstruction.pdf</w:t>
              </w:r>
            </w:hyperlink>
          </w:p>
        </w:tc>
      </w:tr>
      <w:tr w:rsidR="004612FB" w:rsidRPr="00D705C5" w:rsidTr="00A24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Align w:val="bottom"/>
          </w:tcPr>
          <w:p w:rsidR="004612FB" w:rsidRPr="00DF642C" w:rsidRDefault="004612FB" w:rsidP="00A24CD3">
            <w:pPr>
              <w:pStyle w:val="ATableBody"/>
            </w:pPr>
            <w:r w:rsidRPr="008B358F">
              <w:rPr>
                <w:color w:val="000000"/>
                <w:szCs w:val="20"/>
              </w:rPr>
              <w:t>ПАО «Промсвязьбанк» (ПСБ Бизнес)</w:t>
            </w:r>
          </w:p>
        </w:tc>
        <w:tc>
          <w:tcPr>
            <w:tcW w:w="1468" w:type="dxa"/>
          </w:tcPr>
          <w:p w:rsidR="004612FB" w:rsidRPr="00372A51" w:rsidRDefault="004612FB" w:rsidP="00A24CD3">
            <w:pPr>
              <w:pStyle w:val="A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26B8">
              <w:t>ООО "БСС"</w:t>
            </w:r>
          </w:p>
        </w:tc>
        <w:tc>
          <w:tcPr>
            <w:tcW w:w="6210" w:type="dxa"/>
          </w:tcPr>
          <w:p w:rsidR="004612FB" w:rsidRDefault="007A2956" w:rsidP="00A24CD3">
            <w:pPr>
              <w:pStyle w:val="A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4612FB" w:rsidRPr="00114F90">
                <w:rPr>
                  <w:rStyle w:val="a3"/>
                </w:rPr>
                <w:t>https://www.psbank.ru/Corporate/Everyday/Remote/PSB-Online?search=bs+client</w:t>
              </w:r>
            </w:hyperlink>
          </w:p>
        </w:tc>
      </w:tr>
    </w:tbl>
    <w:p w:rsidR="004612FB" w:rsidRPr="004612FB" w:rsidRDefault="004612FB" w:rsidP="004612FB">
      <w:pPr>
        <w:pStyle w:val="AListbullet"/>
        <w:numPr>
          <w:ilvl w:val="0"/>
          <w:numId w:val="0"/>
        </w:numPr>
        <w:ind w:left="284" w:firstLine="567"/>
        <w:rPr>
          <w:lang w:val="ru-RU"/>
        </w:rPr>
      </w:pPr>
    </w:p>
    <w:p w:rsidR="004612FB" w:rsidRPr="003911BA" w:rsidRDefault="004612FB" w:rsidP="003911BA">
      <w:pPr>
        <w:jc w:val="right"/>
        <w:rPr>
          <w:rFonts w:ascii="Times New Roman" w:hAnsi="Times New Roman" w:cs="Times New Roman"/>
          <w:sz w:val="24"/>
        </w:rPr>
      </w:pPr>
    </w:p>
    <w:sectPr w:rsidR="004612FB" w:rsidRPr="0039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1887" w:usb1="00000000" w:usb2="00000000" w:usb3="006D0010" w:csb0="0062E5B9" w:csb1="00000001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9757B"/>
    <w:multiLevelType w:val="multilevel"/>
    <w:tmpl w:val="0160FEC8"/>
    <w:lvl w:ilvl="0">
      <w:start w:val="1"/>
      <w:numFmt w:val="bullet"/>
      <w:pStyle w:val="AListbullet"/>
      <w:lvlText w:val="–"/>
      <w:lvlJc w:val="left"/>
      <w:pPr>
        <w:tabs>
          <w:tab w:val="num" w:pos="1191"/>
        </w:tabs>
        <w:ind w:left="284" w:firstLine="56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AList2bullet"/>
      <w:lvlText w:val=""/>
      <w:lvlJc w:val="left"/>
      <w:pPr>
        <w:tabs>
          <w:tab w:val="num" w:pos="1645"/>
        </w:tabs>
        <w:ind w:left="738" w:firstLine="567"/>
      </w:pPr>
      <w:rPr>
        <w:rFonts w:ascii="Symbol" w:hAnsi="Symbol" w:hint="default"/>
        <w:color w:val="auto"/>
      </w:rPr>
    </w:lvl>
    <w:lvl w:ilvl="2">
      <w:start w:val="1"/>
      <w:numFmt w:val="bullet"/>
      <w:pStyle w:val="AList3bullet"/>
      <w:lvlText w:val=""/>
      <w:lvlJc w:val="left"/>
      <w:pPr>
        <w:tabs>
          <w:tab w:val="num" w:pos="2099"/>
        </w:tabs>
        <w:ind w:left="1192" w:firstLine="567"/>
      </w:pPr>
      <w:rPr>
        <w:rFonts w:ascii="Symbol" w:hAnsi="Symbol" w:hint="default"/>
        <w:color w:val="auto"/>
      </w:rPr>
    </w:lvl>
    <w:lvl w:ilvl="3">
      <w:start w:val="1"/>
      <w:numFmt w:val="bullet"/>
      <w:pStyle w:val="AList4bullet"/>
      <w:lvlText w:val=""/>
      <w:lvlJc w:val="left"/>
      <w:pPr>
        <w:tabs>
          <w:tab w:val="num" w:pos="2553"/>
        </w:tabs>
        <w:ind w:left="1646" w:firstLine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3007"/>
        </w:tabs>
        <w:ind w:left="2100" w:firstLine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461"/>
        </w:tabs>
        <w:ind w:left="2554" w:firstLine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15"/>
        </w:tabs>
        <w:ind w:left="3008" w:firstLine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369"/>
        </w:tabs>
        <w:ind w:left="3462" w:firstLine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823"/>
        </w:tabs>
        <w:ind w:left="3916" w:firstLine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BA"/>
    <w:rsid w:val="00037C26"/>
    <w:rsid w:val="00360461"/>
    <w:rsid w:val="003911BA"/>
    <w:rsid w:val="004612FB"/>
    <w:rsid w:val="006B3629"/>
    <w:rsid w:val="007A2956"/>
    <w:rsid w:val="00925F93"/>
    <w:rsid w:val="00967E56"/>
    <w:rsid w:val="00A9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E841"/>
  <w15:chartTrackingRefBased/>
  <w15:docId w15:val="{001C3064-EEE9-4154-BB62-A8890A74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ody">
    <w:name w:val="A_Body"/>
    <w:qFormat/>
    <w:rsid w:val="004612FB"/>
    <w:pPr>
      <w:spacing w:before="120" w:after="120" w:line="276" w:lineRule="auto"/>
      <w:ind w:left="284" w:right="284" w:firstLine="85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US" w:eastAsia="ru-RU"/>
    </w:rPr>
  </w:style>
  <w:style w:type="paragraph" w:customStyle="1" w:styleId="AListbullet">
    <w:name w:val="A_List_bullet"/>
    <w:basedOn w:val="ABody"/>
    <w:qFormat/>
    <w:rsid w:val="004612FB"/>
    <w:pPr>
      <w:numPr>
        <w:numId w:val="1"/>
      </w:numPr>
    </w:pPr>
    <w:rPr>
      <w:szCs w:val="20"/>
    </w:rPr>
  </w:style>
  <w:style w:type="paragraph" w:customStyle="1" w:styleId="AList2bullet">
    <w:name w:val="A_List2_bullet"/>
    <w:basedOn w:val="AListbullet"/>
    <w:qFormat/>
    <w:rsid w:val="004612FB"/>
    <w:pPr>
      <w:numPr>
        <w:ilvl w:val="1"/>
      </w:numPr>
    </w:pPr>
  </w:style>
  <w:style w:type="paragraph" w:customStyle="1" w:styleId="AList3bullet">
    <w:name w:val="A_List3_bullet"/>
    <w:basedOn w:val="AList2bullet"/>
    <w:qFormat/>
    <w:rsid w:val="004612FB"/>
    <w:pPr>
      <w:numPr>
        <w:ilvl w:val="2"/>
      </w:numPr>
    </w:pPr>
  </w:style>
  <w:style w:type="paragraph" w:customStyle="1" w:styleId="AList4bullet">
    <w:name w:val="A_List4_bullet"/>
    <w:basedOn w:val="AList3bullet"/>
    <w:rsid w:val="004612FB"/>
    <w:pPr>
      <w:widowControl w:val="0"/>
      <w:numPr>
        <w:ilvl w:val="3"/>
      </w:numPr>
      <w:autoSpaceDE w:val="0"/>
      <w:autoSpaceDN w:val="0"/>
      <w:adjustRightInd w:val="0"/>
    </w:pPr>
    <w:rPr>
      <w:color w:val="000000"/>
      <w:szCs w:val="24"/>
      <w:lang w:val="ru-RU"/>
    </w:rPr>
  </w:style>
  <w:style w:type="paragraph" w:customStyle="1" w:styleId="ATableColumnName">
    <w:name w:val="A_Table_ColumnName"/>
    <w:basedOn w:val="a"/>
    <w:rsid w:val="004612FB"/>
    <w:pPr>
      <w:keepNext/>
      <w:widowControl w:val="0"/>
      <w:autoSpaceDE w:val="0"/>
      <w:autoSpaceDN w:val="0"/>
      <w:snapToGrid w:val="0"/>
      <w:spacing w:after="0" w:line="276" w:lineRule="auto"/>
      <w:ind w:left="113" w:right="113"/>
      <w:contextualSpacing/>
      <w:jc w:val="center"/>
    </w:pPr>
    <w:rPr>
      <w:rFonts w:ascii="Times New Roman Bold" w:eastAsia="Times New Roman" w:hAnsi="Times New Roman Bold" w:cs="Arial"/>
      <w:b/>
      <w:bCs/>
      <w:snapToGrid w:val="0"/>
      <w:sz w:val="20"/>
      <w:szCs w:val="24"/>
      <w:lang w:eastAsia="ru-RU"/>
    </w:rPr>
  </w:style>
  <w:style w:type="paragraph" w:customStyle="1" w:styleId="ATableBody">
    <w:name w:val="A_Table_Body"/>
    <w:basedOn w:val="a"/>
    <w:qFormat/>
    <w:rsid w:val="004612FB"/>
    <w:pPr>
      <w:snapToGrid w:val="0"/>
      <w:spacing w:before="120" w:after="120" w:line="276" w:lineRule="auto"/>
      <w:ind w:left="113" w:right="113"/>
      <w:contextualSpacing/>
    </w:pPr>
    <w:rPr>
      <w:rFonts w:ascii="Times New Roman" w:eastAsia="Times New Roman" w:hAnsi="Times New Roman" w:cs="Arial"/>
      <w:snapToGrid w:val="0"/>
      <w:sz w:val="20"/>
      <w:szCs w:val="24"/>
      <w:lang w:eastAsia="ru-RU"/>
    </w:rPr>
  </w:style>
  <w:style w:type="character" w:styleId="a3">
    <w:name w:val="Hyperlink"/>
    <w:uiPriority w:val="99"/>
    <w:unhideWhenUsed/>
    <w:rsid w:val="004612FB"/>
    <w:rPr>
      <w:color w:val="0000FF"/>
      <w:u w:val="single"/>
    </w:rPr>
  </w:style>
  <w:style w:type="table" w:customStyle="1" w:styleId="12">
    <w:name w:val="Таблица 12"/>
    <w:basedOn w:val="a1"/>
    <w:uiPriority w:val="99"/>
    <w:rsid w:val="004612FB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cPr>
        <w:tcBorders>
          <w:bottom w:val="double" w:sz="4" w:space="0" w:color="auto"/>
        </w:tcBorders>
      </w:tcPr>
    </w:tblStylePr>
    <w:tblStylePr w:type="firstCol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r.ru/corp/remote-services/client-bank/" TargetMode="External"/><Relationship Id="rId13" Type="http://schemas.openxmlformats.org/officeDocument/2006/relationships/hyperlink" Target="https://www.sberbank.ru/help/business/sbbol/1005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ypto.rosatom.ru/upload/iblock/542/Instruktsiya-po-pervichnomu-vkhodu-v-GPB-Klient_Bank-WEB.PDF" TargetMode="External"/><Relationship Id="rId12" Type="http://schemas.openxmlformats.org/officeDocument/2006/relationships/hyperlink" Target="https://ibank.alfabank.ru/ALFAIBS32/help/help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vtb.ru/krupnyj-biznes/raschety/distancionnoe-bankovskoe-obsluzhivanie/internet-klient/" TargetMode="External"/><Relationship Id="rId11" Type="http://schemas.openxmlformats.org/officeDocument/2006/relationships/hyperlink" Target="https://alfabank.servicecdn.ru/site-upload/ec/fd/2304/user_guide_ALBO.pdf" TargetMode="External"/><Relationship Id="rId5" Type="http://schemas.openxmlformats.org/officeDocument/2006/relationships/hyperlink" Target="https://www.vtb.ru/malyj-biznes/raschetnoe-obsluzhivanie/distancionnoe-obsluzhivanie/vtb-biznes-onlayn/" TargetMode="External"/><Relationship Id="rId15" Type="http://schemas.openxmlformats.org/officeDocument/2006/relationships/hyperlink" Target="https://www.psbank.ru/Corporate/Everyday/Remote/PSB-Online?search=bs+client" TargetMode="External"/><Relationship Id="rId10" Type="http://schemas.openxmlformats.org/officeDocument/2006/relationships/hyperlink" Target="https://novikom.ru/documents/instruktsiya-po-ustanovke-i-nastroyke-dbo-correq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iffeisen.ru/business/dist/rbo/" TargetMode="External"/><Relationship Id="rId14" Type="http://schemas.openxmlformats.org/officeDocument/2006/relationships/hyperlink" Target="https://bk.sovcombank.ru/ru/html/setupInstructi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Александр Иванович</dc:creator>
  <cp:keywords/>
  <dc:description/>
  <cp:lastModifiedBy>Тимченко Александр Иванович</cp:lastModifiedBy>
  <cp:revision>6</cp:revision>
  <dcterms:created xsi:type="dcterms:W3CDTF">2024-08-07T08:09:00Z</dcterms:created>
  <dcterms:modified xsi:type="dcterms:W3CDTF">2024-08-08T15:04:00Z</dcterms:modified>
</cp:coreProperties>
</file>