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A09A7" w:rsidRPr="00BA5A80" w:rsidRDefault="008C47D4">
      <w:pPr>
        <w:spacing w:after="180"/>
        <w:jc w:val="center"/>
        <w:rPr>
          <w:b/>
          <w:sz w:val="25"/>
          <w:szCs w:val="25"/>
          <w:lang w:val="en-US"/>
        </w:rPr>
      </w:pPr>
      <w:r w:rsidRPr="00BA5A80">
        <w:rPr>
          <w:b/>
          <w:sz w:val="25"/>
          <w:szCs w:val="25"/>
          <w:lang w:val="en-US"/>
        </w:rPr>
        <w:t>Request for Proposal (RFP)</w:t>
      </w:r>
      <w:r w:rsidRPr="00BA5A80">
        <w:rPr>
          <w:b/>
          <w:sz w:val="25"/>
          <w:szCs w:val="25"/>
          <w:lang w:val="en-US"/>
        </w:rPr>
        <w:br/>
      </w:r>
    </w:p>
    <w:p w14:paraId="00000002" w14:textId="26BB728D" w:rsidR="00CA09A7" w:rsidRPr="00BA5A80" w:rsidRDefault="008C47D4" w:rsidP="00BA5A80">
      <w:pPr>
        <w:spacing w:after="40"/>
        <w:ind w:left="440" w:hanging="220"/>
        <w:rPr>
          <w:sz w:val="20"/>
          <w:szCs w:val="20"/>
          <w:lang w:val="en-US"/>
        </w:rPr>
      </w:pPr>
      <w:r>
        <w:rPr>
          <w:sz w:val="20"/>
          <w:szCs w:val="20"/>
        </w:rPr>
        <w:t>г</w:t>
      </w:r>
      <w:r w:rsidRPr="00BA5A80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Москва</w:t>
      </w:r>
      <w:r w:rsidRPr="00BA5A80">
        <w:rPr>
          <w:sz w:val="20"/>
          <w:szCs w:val="20"/>
          <w:lang w:val="en-US"/>
        </w:rPr>
        <w:tab/>
        <w:t xml:space="preserve">                                                                                                        </w:t>
      </w:r>
      <w:r w:rsidR="00350A02" w:rsidRPr="003532EB">
        <w:rPr>
          <w:sz w:val="20"/>
          <w:szCs w:val="20"/>
          <w:lang w:val="en-US"/>
        </w:rPr>
        <w:t>30</w:t>
      </w:r>
      <w:r w:rsidRPr="00BA5A80">
        <w:rPr>
          <w:sz w:val="20"/>
          <w:szCs w:val="20"/>
          <w:lang w:val="en-US"/>
        </w:rPr>
        <w:t xml:space="preserve"> </w:t>
      </w:r>
      <w:r w:rsidR="00F177AE">
        <w:rPr>
          <w:sz w:val="20"/>
          <w:szCs w:val="20"/>
          <w:lang w:val="ru-RU"/>
        </w:rPr>
        <w:t>августа</w:t>
      </w:r>
      <w:r w:rsidRPr="00BA5A80">
        <w:rPr>
          <w:sz w:val="20"/>
          <w:szCs w:val="20"/>
          <w:lang w:val="en-US"/>
        </w:rPr>
        <w:t xml:space="preserve"> 2023 </w:t>
      </w:r>
      <w:r>
        <w:rPr>
          <w:sz w:val="20"/>
          <w:szCs w:val="20"/>
        </w:rPr>
        <w:t>г</w:t>
      </w:r>
      <w:r w:rsidRPr="00BA5A80">
        <w:rPr>
          <w:sz w:val="20"/>
          <w:szCs w:val="20"/>
          <w:lang w:val="en-US"/>
        </w:rPr>
        <w:t>.</w:t>
      </w:r>
      <w:r w:rsidRPr="00BA5A80">
        <w:rPr>
          <w:sz w:val="20"/>
          <w:szCs w:val="20"/>
          <w:lang w:val="en-US"/>
        </w:rPr>
        <w:br/>
      </w:r>
    </w:p>
    <w:p w14:paraId="00000003" w14:textId="77777777" w:rsidR="00CA09A7" w:rsidRDefault="008C47D4" w:rsidP="00BA5A80">
      <w:pPr>
        <w:spacing w:after="180"/>
        <w:ind w:left="300"/>
        <w:rPr>
          <w:sz w:val="20"/>
          <w:szCs w:val="20"/>
        </w:rPr>
      </w:pPr>
      <w:r>
        <w:rPr>
          <w:sz w:val="20"/>
          <w:szCs w:val="20"/>
        </w:rPr>
        <w:t>Группа Т1 настоящим объявляет о проведении RFP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— запроса предложений и приглашает юридических лиц подавать свои предложения для заключения договора на оказание услуг в соответствии с описанием и спецификацией.</w:t>
      </w:r>
    </w:p>
    <w:p w14:paraId="00000004" w14:textId="77777777" w:rsidR="00CA09A7" w:rsidRDefault="008C47D4" w:rsidP="00BA5A80">
      <w:pPr>
        <w:spacing w:after="180"/>
        <w:ind w:left="300"/>
        <w:rPr>
          <w:i/>
          <w:sz w:val="20"/>
          <w:szCs w:val="20"/>
        </w:rPr>
      </w:pPr>
      <w:r>
        <w:rPr>
          <w:i/>
          <w:sz w:val="20"/>
          <w:szCs w:val="20"/>
        </w:rPr>
        <w:t>Любая информация, содержащаяся в настоящем документе, признается конфиденциальной (за исключением информации, которая не может признаваться конфиденциальной на основании закона).</w:t>
      </w:r>
    </w:p>
    <w:p w14:paraId="00000007" w14:textId="4E2BD2AF" w:rsidR="00CA09A7" w:rsidRPr="00B21DC3" w:rsidRDefault="008C47D4" w:rsidP="00B21DC3">
      <w:pPr>
        <w:spacing w:after="100"/>
        <w:ind w:left="300"/>
        <w:rPr>
          <w:i/>
          <w:sz w:val="20"/>
          <w:szCs w:val="20"/>
        </w:rPr>
      </w:pPr>
      <w:r>
        <w:rPr>
          <w:i/>
          <w:sz w:val="20"/>
          <w:szCs w:val="20"/>
        </w:rPr>
        <w:t>Убытки, наступившие в результате нарушения конфиденциальности, определяются и возмещается в соответствии с действующим законодательством Российской Федерации.</w:t>
      </w:r>
      <w:r>
        <w:rPr>
          <w:i/>
          <w:sz w:val="20"/>
          <w:szCs w:val="20"/>
        </w:rPr>
        <w:br/>
      </w:r>
    </w:p>
    <w:p w14:paraId="0D6459B3" w14:textId="77777777" w:rsidR="00110B80" w:rsidRDefault="008C47D4" w:rsidP="00BA5A80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</w:rPr>
        <w:t>О компании</w:t>
      </w:r>
    </w:p>
    <w:p w14:paraId="5D0DC99E" w14:textId="77777777" w:rsidR="00110B80" w:rsidRDefault="00110B80" w:rsidP="00110B80">
      <w:pPr>
        <w:ind w:left="360"/>
        <w:rPr>
          <w:b/>
          <w:sz w:val="20"/>
          <w:szCs w:val="20"/>
        </w:rPr>
      </w:pPr>
    </w:p>
    <w:p w14:paraId="0C892B73" w14:textId="77777777" w:rsidR="00110B80" w:rsidRDefault="008C47D4" w:rsidP="00110B80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</w:r>
    </w:p>
    <w:p w14:paraId="3CBC7996" w14:textId="77777777" w:rsidR="00110B80" w:rsidRDefault="008C47D4" w:rsidP="00110B80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В состав холдинга входят компании Т1 Интеграция, Т1 Консалтинг, Т1 </w:t>
      </w:r>
      <w:proofErr w:type="spellStart"/>
      <w:r>
        <w:rPr>
          <w:sz w:val="20"/>
          <w:szCs w:val="20"/>
        </w:rPr>
        <w:t>Cloud</w:t>
      </w:r>
      <w:proofErr w:type="spellEnd"/>
      <w:r>
        <w:rPr>
          <w:sz w:val="20"/>
          <w:szCs w:val="20"/>
        </w:rPr>
        <w:t xml:space="preserve">, Иннотех, Дататех, </w:t>
      </w:r>
      <w:proofErr w:type="spellStart"/>
      <w:r>
        <w:rPr>
          <w:sz w:val="20"/>
          <w:szCs w:val="20"/>
        </w:rPr>
        <w:t>МультиКарта</w:t>
      </w:r>
      <w:proofErr w:type="spellEnd"/>
      <w:r>
        <w:rPr>
          <w:sz w:val="20"/>
          <w:szCs w:val="20"/>
        </w:rPr>
        <w:t>, Сервионика и др. компании. Они обладают профессиональной экспертизой в области системной интеграции, консалтинга, разработки ПО на заказ, Big Data и машинного обучения, информационной безопасности, роботизации рутинных операций, процессной аналитики Process Mining, Интернета вещей. Компетенции группы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</w:t>
      </w:r>
    </w:p>
    <w:p w14:paraId="145D1231" w14:textId="77777777" w:rsidR="00110B80" w:rsidRDefault="008C47D4" w:rsidP="00110B80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>Сайт:</w:t>
      </w:r>
      <w:hyperlink r:id="rId5">
        <w:r>
          <w:rPr>
            <w:sz w:val="20"/>
            <w:szCs w:val="20"/>
          </w:rPr>
          <w:t xml:space="preserve"> </w:t>
        </w:r>
      </w:hyperlink>
      <w:hyperlink r:id="rId6">
        <w:r>
          <w:rPr>
            <w:color w:val="0000FF"/>
            <w:sz w:val="20"/>
            <w:szCs w:val="20"/>
            <w:u w:val="single"/>
          </w:rPr>
          <w:t>https://t1.ru/</w:t>
        </w:r>
      </w:hyperlink>
    </w:p>
    <w:p w14:paraId="0EBA3B4F" w14:textId="77777777" w:rsidR="00110B80" w:rsidRDefault="00110B80" w:rsidP="00110B80">
      <w:pPr>
        <w:ind w:left="360"/>
        <w:rPr>
          <w:b/>
          <w:sz w:val="20"/>
          <w:szCs w:val="20"/>
        </w:rPr>
      </w:pPr>
    </w:p>
    <w:p w14:paraId="5FED6A26" w14:textId="552E1196" w:rsidR="00110B80" w:rsidRDefault="00B21DC3" w:rsidP="00110B80">
      <w:pPr>
        <w:ind w:left="360"/>
        <w:rPr>
          <w:b/>
          <w:sz w:val="20"/>
          <w:szCs w:val="20"/>
        </w:rPr>
      </w:pPr>
      <w:r w:rsidRPr="00B21DC3">
        <w:rPr>
          <w:sz w:val="20"/>
          <w:szCs w:val="20"/>
        </w:rPr>
        <w:t xml:space="preserve">НОТА </w:t>
      </w:r>
      <w:r>
        <w:rPr>
          <w:sz w:val="20"/>
          <w:szCs w:val="20"/>
          <w:lang w:val="ru-RU"/>
        </w:rPr>
        <w:t xml:space="preserve">– это </w:t>
      </w:r>
      <w:proofErr w:type="spellStart"/>
      <w:r>
        <w:rPr>
          <w:sz w:val="20"/>
          <w:szCs w:val="20"/>
          <w:lang w:val="ru-RU"/>
        </w:rPr>
        <w:t>мультипродуктовый</w:t>
      </w:r>
      <w:proofErr w:type="spellEnd"/>
      <w:r>
        <w:rPr>
          <w:sz w:val="20"/>
          <w:szCs w:val="20"/>
          <w:lang w:val="ru-RU"/>
        </w:rPr>
        <w:t xml:space="preserve"> вендор отечественного ПО, входит в Холдинг Т1. Создан в 2023 году на основе обширной экспертизы команд холдинга. Компания занимается развитием собственных программных продуктов и формированием внешней партнерской сети для дистрибуции и интеграции решений, востребованных в условиях технологического суверенитета. Создаваемое программное обеспечение ориентировано на корпоративный сегмент – госкомпании и крупнейший частный бизнес. Консалтинговое подразделение НОТА отвечает за построение и реализацию цифровых стратегий. В Компанию входит также аналитическое агентство, проводящее отраслевые и специфические исследования цифровой индустрии. В портфолио НОТА аккумулированы: платформа Т1</w:t>
      </w:r>
      <w:r w:rsidRPr="00B21DC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CRM</w:t>
      </w:r>
      <w:r w:rsidRPr="00B21DC3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 xml:space="preserve">решение для автоматизации работы с задолженностями </w:t>
      </w:r>
      <w:r>
        <w:rPr>
          <w:sz w:val="20"/>
          <w:szCs w:val="20"/>
          <w:lang w:val="en-US"/>
        </w:rPr>
        <w:t>T</w:t>
      </w:r>
      <w:r w:rsidRPr="00B21DC3">
        <w:rPr>
          <w:sz w:val="20"/>
          <w:szCs w:val="20"/>
          <w:lang w:val="ru-RU"/>
        </w:rPr>
        <w:t xml:space="preserve">1 </w:t>
      </w:r>
      <w:r>
        <w:rPr>
          <w:sz w:val="20"/>
          <w:szCs w:val="20"/>
          <w:lang w:val="en-US"/>
        </w:rPr>
        <w:t>CRM</w:t>
      </w:r>
      <w:r w:rsidRPr="00B21DC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Collection</w:t>
      </w:r>
      <w:r>
        <w:rPr>
          <w:sz w:val="20"/>
          <w:szCs w:val="20"/>
          <w:lang w:val="ru-RU"/>
        </w:rPr>
        <w:t>, платформа разработки технологичных продуктов Сфера, ИТ-решение для подключения к системе налогового мониторинга Т1</w:t>
      </w:r>
      <w:r w:rsidRPr="00B21DC3"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en-US"/>
        </w:rPr>
        <w:t>EasyTax</w:t>
      </w:r>
      <w:proofErr w:type="spellEnd"/>
      <w:r>
        <w:rPr>
          <w:sz w:val="20"/>
          <w:szCs w:val="20"/>
          <w:lang w:val="ru-RU"/>
        </w:rPr>
        <w:t xml:space="preserve">, </w:t>
      </w:r>
      <w:r w:rsidRPr="00B21DC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HR</w:t>
      </w:r>
      <w:r>
        <w:rPr>
          <w:sz w:val="20"/>
          <w:szCs w:val="20"/>
          <w:lang w:val="ru-RU"/>
        </w:rPr>
        <w:t>-платформа</w:t>
      </w:r>
      <w:r w:rsidRPr="00B21DC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AIR</w:t>
      </w:r>
      <w:r>
        <w:rPr>
          <w:sz w:val="20"/>
          <w:szCs w:val="20"/>
          <w:lang w:val="ru-RU"/>
        </w:rPr>
        <w:t xml:space="preserve">, </w:t>
      </w:r>
      <w:r w:rsidR="006A6BAA">
        <w:rPr>
          <w:sz w:val="20"/>
          <w:szCs w:val="20"/>
          <w:lang w:val="ru-RU"/>
        </w:rPr>
        <w:t>платформа унифицированных коммуникаций</w:t>
      </w:r>
      <w:r w:rsidRPr="00B21DC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Dion</w:t>
      </w:r>
      <w:r w:rsidRPr="00B21DC3">
        <w:rPr>
          <w:sz w:val="20"/>
          <w:szCs w:val="20"/>
          <w:lang w:val="ru-RU"/>
        </w:rPr>
        <w:t xml:space="preserve">, </w:t>
      </w:r>
      <w:r w:rsidR="00277060">
        <w:rPr>
          <w:sz w:val="20"/>
          <w:szCs w:val="20"/>
          <w:lang w:val="ru-RU"/>
        </w:rPr>
        <w:t>платформа для проведения онлайн-совещаний Комитет Онлайн, экосистема решений в области информационной безопасности Т1</w:t>
      </w:r>
      <w:r w:rsidRPr="00B21DC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Watchman</w:t>
      </w:r>
      <w:r w:rsidRPr="00B21DC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en-US"/>
        </w:rPr>
        <w:t>Security</w:t>
      </w:r>
      <w:r w:rsidR="00277060">
        <w:rPr>
          <w:sz w:val="20"/>
          <w:szCs w:val="20"/>
          <w:lang w:val="ru-RU"/>
        </w:rPr>
        <w:t>.</w:t>
      </w:r>
      <w:r>
        <w:rPr>
          <w:b/>
          <w:sz w:val="20"/>
          <w:szCs w:val="20"/>
        </w:rPr>
        <w:br/>
      </w:r>
    </w:p>
    <w:p w14:paraId="6F242F14" w14:textId="60B7D17C" w:rsidR="00110B80" w:rsidRDefault="00FB729D" w:rsidP="00110B80">
      <w:pPr>
        <w:ind w:left="360"/>
        <w:rPr>
          <w:b/>
          <w:sz w:val="20"/>
          <w:szCs w:val="20"/>
        </w:rPr>
      </w:pPr>
      <w:r>
        <w:rPr>
          <w:sz w:val="20"/>
          <w:szCs w:val="20"/>
          <w:lang w:val="ru-RU"/>
        </w:rPr>
        <w:t>НОТА - н</w:t>
      </w:r>
      <w:proofErr w:type="spellStart"/>
      <w:r>
        <w:rPr>
          <w:sz w:val="20"/>
          <w:szCs w:val="20"/>
        </w:rPr>
        <w:t>овый</w:t>
      </w:r>
      <w:proofErr w:type="spellEnd"/>
      <w:r>
        <w:rPr>
          <w:sz w:val="20"/>
          <w:szCs w:val="20"/>
        </w:rPr>
        <w:t xml:space="preserve"> российский вендор IT-продуктов для гигантов B2B сегмента находится под крылом большого эксперта </w:t>
      </w:r>
      <w:r w:rsidR="006A6BAA">
        <w:rPr>
          <w:sz w:val="20"/>
          <w:szCs w:val="20"/>
          <w:lang w:val="ru-RU"/>
        </w:rPr>
        <w:t xml:space="preserve">– Холдинга </w:t>
      </w:r>
      <w:r>
        <w:rPr>
          <w:sz w:val="20"/>
          <w:szCs w:val="20"/>
        </w:rPr>
        <w:t>Т1</w:t>
      </w:r>
      <w:r>
        <w:rPr>
          <w:sz w:val="20"/>
          <w:szCs w:val="20"/>
          <w:lang w:val="ru-RU"/>
        </w:rPr>
        <w:t>.</w:t>
      </w:r>
      <w:r>
        <w:rPr>
          <w:sz w:val="20"/>
          <w:szCs w:val="20"/>
        </w:rPr>
        <w:t xml:space="preserve"> </w:t>
      </w:r>
    </w:p>
    <w:p w14:paraId="58380F54" w14:textId="5A692133" w:rsidR="004D0389" w:rsidRPr="00D67113" w:rsidRDefault="00FB729D" w:rsidP="00F177AE">
      <w:pPr>
        <w:ind w:left="360"/>
        <w:rPr>
          <w:rFonts w:eastAsia="SimSu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НОТА объединила команды, которые разрабатывают и затем внедряют ИТ-продукты для лидеров ры</w:t>
      </w:r>
      <w:r w:rsidR="000532D2">
        <w:rPr>
          <w:sz w:val="20"/>
          <w:szCs w:val="20"/>
          <w:lang w:val="ru-RU"/>
        </w:rPr>
        <w:t>н</w:t>
      </w:r>
      <w:r>
        <w:rPr>
          <w:sz w:val="20"/>
          <w:szCs w:val="20"/>
          <w:lang w:val="ru-RU"/>
        </w:rPr>
        <w:t>ка и инновационных индустрий в России и регионе ЕМЕА.</w:t>
      </w:r>
      <w:r>
        <w:rPr>
          <w:sz w:val="20"/>
          <w:szCs w:val="20"/>
        </w:rPr>
        <w:br/>
      </w:r>
    </w:p>
    <w:p w14:paraId="00000016" w14:textId="389E0FA4" w:rsidR="00CA09A7" w:rsidRPr="00571337" w:rsidRDefault="00FB729D" w:rsidP="00F32FAB">
      <w:pPr>
        <w:spacing w:before="240" w:line="240" w:lineRule="auto"/>
        <w:ind w:left="567"/>
        <w:contextualSpacing/>
        <w:rPr>
          <w:b/>
          <w:sz w:val="20"/>
          <w:szCs w:val="20"/>
          <w:highlight w:val="yellow"/>
        </w:rPr>
      </w:pPr>
      <w:r w:rsidRPr="00571337">
        <w:rPr>
          <w:sz w:val="20"/>
          <w:szCs w:val="20"/>
        </w:rPr>
        <w:lastRenderedPageBreak/>
        <w:br/>
      </w:r>
    </w:p>
    <w:p w14:paraId="30B847BD" w14:textId="77777777" w:rsidR="00F177AE" w:rsidRDefault="008C47D4" w:rsidP="00F177AE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</w:rPr>
        <w:t>Объем работ в рамках RFP</w:t>
      </w:r>
    </w:p>
    <w:p w14:paraId="67FFDF91" w14:textId="77777777" w:rsidR="00F177AE" w:rsidRDefault="00F177AE" w:rsidP="00F177AE">
      <w:pPr>
        <w:ind w:left="360"/>
        <w:rPr>
          <w:b/>
          <w:sz w:val="20"/>
          <w:szCs w:val="20"/>
        </w:rPr>
      </w:pPr>
    </w:p>
    <w:p w14:paraId="1518D5DE" w14:textId="4600A58B" w:rsidR="00F177AE" w:rsidRPr="00F177AE" w:rsidRDefault="00F23B8B" w:rsidP="00F177AE">
      <w:pPr>
        <w:ind w:left="360"/>
        <w:rPr>
          <w:b/>
          <w:sz w:val="20"/>
          <w:szCs w:val="20"/>
        </w:rPr>
      </w:pPr>
      <w:r w:rsidRPr="00F177AE">
        <w:rPr>
          <w:color w:val="000000"/>
          <w:sz w:val="20"/>
          <w:szCs w:val="20"/>
        </w:rPr>
        <w:t>Раз</w:t>
      </w:r>
      <w:r w:rsidR="00F177AE" w:rsidRPr="00F177AE">
        <w:rPr>
          <w:color w:val="000000"/>
          <w:sz w:val="20"/>
          <w:szCs w:val="20"/>
        </w:rPr>
        <w:t xml:space="preserve">мещение рекламного макета НОТА (или продуктов НОТА) в прессе согласно </w:t>
      </w:r>
      <w:proofErr w:type="spellStart"/>
      <w:r w:rsidR="00F177AE" w:rsidRPr="00F177AE">
        <w:rPr>
          <w:color w:val="000000"/>
          <w:sz w:val="20"/>
          <w:szCs w:val="20"/>
        </w:rPr>
        <w:t>следующи</w:t>
      </w:r>
      <w:proofErr w:type="spellEnd"/>
      <w:r w:rsidR="00F177AE">
        <w:rPr>
          <w:color w:val="000000"/>
          <w:sz w:val="20"/>
          <w:szCs w:val="20"/>
          <w:lang w:val="ru-RU"/>
        </w:rPr>
        <w:t>м</w:t>
      </w:r>
      <w:r w:rsidR="00F177AE" w:rsidRPr="00F177AE">
        <w:rPr>
          <w:color w:val="000000"/>
          <w:sz w:val="20"/>
          <w:szCs w:val="20"/>
        </w:rPr>
        <w:t xml:space="preserve"> </w:t>
      </w:r>
      <w:proofErr w:type="spellStart"/>
      <w:r w:rsidR="00F177AE" w:rsidRPr="00F177AE">
        <w:rPr>
          <w:color w:val="000000"/>
          <w:sz w:val="20"/>
          <w:szCs w:val="20"/>
        </w:rPr>
        <w:t>услови</w:t>
      </w:r>
      <w:proofErr w:type="spellEnd"/>
      <w:r w:rsidR="00F177AE">
        <w:rPr>
          <w:color w:val="000000"/>
          <w:sz w:val="20"/>
          <w:szCs w:val="20"/>
          <w:lang w:val="ru-RU"/>
        </w:rPr>
        <w:t>ям</w:t>
      </w:r>
      <w:r w:rsidR="00F177AE" w:rsidRPr="00F177AE">
        <w:rPr>
          <w:color w:val="000000"/>
          <w:sz w:val="20"/>
          <w:szCs w:val="20"/>
        </w:rPr>
        <w:t>:</w:t>
      </w:r>
    </w:p>
    <w:p w14:paraId="74682AED" w14:textId="5DA7281F" w:rsidR="00F177AE" w:rsidRDefault="00F177AE" w:rsidP="00F177AE">
      <w:pPr>
        <w:spacing w:line="240" w:lineRule="auto"/>
        <w:ind w:left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ru-RU"/>
        </w:rPr>
        <w:t xml:space="preserve">- </w:t>
      </w:r>
      <w:r w:rsidRPr="00F177AE">
        <w:rPr>
          <w:color w:val="000000"/>
          <w:sz w:val="20"/>
          <w:szCs w:val="20"/>
        </w:rPr>
        <w:t>журнал</w:t>
      </w:r>
      <w:r>
        <w:rPr>
          <w:color w:val="000000"/>
          <w:sz w:val="20"/>
          <w:szCs w:val="20"/>
          <w:lang w:val="ru-RU"/>
        </w:rPr>
        <w:t>ы</w:t>
      </w:r>
      <w:r w:rsidRPr="00F177AE">
        <w:rPr>
          <w:color w:val="000000"/>
          <w:sz w:val="20"/>
          <w:szCs w:val="20"/>
        </w:rPr>
        <w:t xml:space="preserve"> Аэрофлот и Аэрофлот Премиум</w:t>
      </w:r>
    </w:p>
    <w:p w14:paraId="56958DDE" w14:textId="733F1664" w:rsidR="00F177AE" w:rsidRDefault="00F177AE" w:rsidP="00F177AE">
      <w:pPr>
        <w:spacing w:line="240" w:lineRule="auto"/>
        <w:ind w:left="284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 формат: 1 разворот</w:t>
      </w:r>
      <w:r w:rsidR="00350A02">
        <w:rPr>
          <w:color w:val="000000"/>
          <w:sz w:val="20"/>
          <w:szCs w:val="20"/>
          <w:lang w:val="ru-RU"/>
        </w:rPr>
        <w:t xml:space="preserve"> в каждом журнале</w:t>
      </w:r>
    </w:p>
    <w:p w14:paraId="3D5C3745" w14:textId="05A890B4" w:rsidR="00F177AE" w:rsidRPr="00F177AE" w:rsidRDefault="00F177AE" w:rsidP="00F177AE">
      <w:pPr>
        <w:spacing w:line="240" w:lineRule="auto"/>
        <w:ind w:left="284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- </w:t>
      </w:r>
      <w:r w:rsidR="00350A02">
        <w:rPr>
          <w:color w:val="000000"/>
          <w:sz w:val="20"/>
          <w:szCs w:val="20"/>
          <w:lang w:val="ru-RU"/>
        </w:rPr>
        <w:t>период</w:t>
      </w:r>
      <w:r>
        <w:rPr>
          <w:color w:val="000000"/>
          <w:sz w:val="20"/>
          <w:szCs w:val="20"/>
          <w:lang w:val="ru-RU"/>
        </w:rPr>
        <w:t>: ноябрь 2023</w:t>
      </w:r>
    </w:p>
    <w:p w14:paraId="1A559415" w14:textId="77777777" w:rsidR="00F177AE" w:rsidRPr="00F177AE" w:rsidRDefault="00F177AE" w:rsidP="00F177AE">
      <w:pPr>
        <w:spacing w:line="240" w:lineRule="auto"/>
        <w:rPr>
          <w:color w:val="000000"/>
          <w:sz w:val="20"/>
          <w:szCs w:val="20"/>
        </w:rPr>
      </w:pPr>
    </w:p>
    <w:p w14:paraId="1F4AC28B" w14:textId="31691C26" w:rsidR="003F0778" w:rsidRPr="003532EB" w:rsidRDefault="003532EB" w:rsidP="003532EB">
      <w:pPr>
        <w:numPr>
          <w:ilvl w:val="0"/>
          <w:numId w:val="3"/>
        </w:numPr>
        <w:spacing w:before="240" w:after="280"/>
        <w:rPr>
          <w:b/>
        </w:rPr>
      </w:pPr>
      <w:r>
        <w:rPr>
          <w:b/>
          <w:lang w:val="ru-RU"/>
        </w:rPr>
        <w:t>Ценовое предложения должно быть</w:t>
      </w:r>
      <w:r>
        <w:rPr>
          <w:b/>
          <w:lang w:val="en-US"/>
        </w:rPr>
        <w:t>:</w:t>
      </w:r>
    </w:p>
    <w:p w14:paraId="003C6B1F" w14:textId="665D6857" w:rsidR="003F0778" w:rsidRPr="004D0389" w:rsidRDefault="00350A02" w:rsidP="00350A02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357"/>
        <w:jc w:val="both"/>
        <w:rPr>
          <w:rFonts w:ascii="Arial" w:eastAsia="Arial" w:hAnsi="Arial"/>
          <w:color w:val="auto"/>
          <w:lang w:val="ru" w:eastAsia="ru-RU"/>
        </w:rPr>
      </w:pPr>
      <w:r>
        <w:rPr>
          <w:rFonts w:ascii="Arial" w:eastAsia="Arial" w:hAnsi="Arial"/>
          <w:color w:val="auto"/>
          <w:lang w:val="ru" w:eastAsia="ru-RU"/>
        </w:rPr>
        <w:t xml:space="preserve">Предложить смету стоимости размещения в журналах Аэрофлот и Аэрофлот Премиум в соответствии с объемом работ, указанном в п. 2 настоящего </w:t>
      </w:r>
      <w:r w:rsidR="009110C8" w:rsidRPr="004D0389">
        <w:rPr>
          <w:rFonts w:ascii="Arial" w:eastAsia="Arial" w:hAnsi="Arial"/>
          <w:color w:val="auto"/>
          <w:lang w:val="ru" w:eastAsia="ru-RU"/>
        </w:rPr>
        <w:t>RFP</w:t>
      </w:r>
    </w:p>
    <w:p w14:paraId="542FC6D0" w14:textId="36547156" w:rsidR="005D7E91" w:rsidRPr="005D7E91" w:rsidRDefault="005D7E91" w:rsidP="006D24BF">
      <w:pPr>
        <w:spacing w:before="240" w:after="280" w:line="240" w:lineRule="auto"/>
        <w:ind w:left="360"/>
        <w:contextualSpacing/>
        <w:rPr>
          <w:i/>
          <w:iCs/>
          <w:color w:val="000000"/>
          <w:sz w:val="20"/>
          <w:szCs w:val="20"/>
          <w:lang w:val="ru-RU"/>
        </w:rPr>
      </w:pPr>
      <w:r w:rsidRPr="005D7E91">
        <w:rPr>
          <w:i/>
          <w:iCs/>
          <w:color w:val="000000"/>
          <w:sz w:val="20"/>
          <w:szCs w:val="20"/>
          <w:lang w:val="ru-RU"/>
        </w:rPr>
        <w:t xml:space="preserve">Файл должен быть выполнен в формате </w:t>
      </w:r>
      <w:r w:rsidR="00F177AE">
        <w:rPr>
          <w:i/>
          <w:iCs/>
          <w:color w:val="000000"/>
          <w:sz w:val="20"/>
          <w:szCs w:val="20"/>
          <w:lang w:val="en-US"/>
        </w:rPr>
        <w:t>excel</w:t>
      </w:r>
      <w:r w:rsidR="00F177AE" w:rsidRPr="00F177AE">
        <w:rPr>
          <w:i/>
          <w:iCs/>
          <w:color w:val="000000"/>
          <w:sz w:val="20"/>
          <w:szCs w:val="20"/>
          <w:lang w:val="ru-RU"/>
        </w:rPr>
        <w:t xml:space="preserve"> </w:t>
      </w:r>
      <w:r w:rsidRPr="005D7E91">
        <w:rPr>
          <w:i/>
          <w:iCs/>
          <w:color w:val="000000"/>
          <w:sz w:val="20"/>
          <w:szCs w:val="20"/>
          <w:lang w:val="ru-RU"/>
        </w:rPr>
        <w:t>(Приложение №</w:t>
      </w:r>
      <w:r w:rsidR="00350A02">
        <w:rPr>
          <w:i/>
          <w:iCs/>
          <w:color w:val="000000"/>
          <w:sz w:val="20"/>
          <w:szCs w:val="20"/>
          <w:lang w:val="ru-RU"/>
        </w:rPr>
        <w:t>1</w:t>
      </w:r>
      <w:r w:rsidRPr="005D7E91">
        <w:rPr>
          <w:i/>
          <w:iCs/>
          <w:color w:val="000000"/>
          <w:sz w:val="20"/>
          <w:szCs w:val="20"/>
          <w:lang w:val="ru-RU"/>
        </w:rPr>
        <w:t xml:space="preserve"> к настоящему RFP).</w:t>
      </w:r>
    </w:p>
    <w:p w14:paraId="2FD4DF8C" w14:textId="77777777" w:rsidR="005D7E91" w:rsidRPr="004171A4" w:rsidRDefault="005D7E91" w:rsidP="006D24BF">
      <w:pPr>
        <w:spacing w:before="240" w:after="280" w:line="240" w:lineRule="auto"/>
        <w:contextualSpacing/>
        <w:rPr>
          <w:rFonts w:eastAsia="SimSun"/>
          <w:sz w:val="20"/>
          <w:szCs w:val="20"/>
          <w:lang w:val="ru-RU"/>
        </w:rPr>
      </w:pPr>
    </w:p>
    <w:p w14:paraId="73E3640D" w14:textId="2BA953A6" w:rsidR="005C1882" w:rsidRDefault="004171A4" w:rsidP="006D24BF">
      <w:pPr>
        <w:spacing w:before="240" w:after="280" w:line="240" w:lineRule="auto"/>
        <w:ind w:left="360"/>
        <w:contextualSpacing/>
        <w:rPr>
          <w:i/>
          <w:sz w:val="20"/>
          <w:szCs w:val="20"/>
          <w:lang w:val="ru-RU"/>
        </w:rPr>
      </w:pPr>
      <w:r>
        <w:rPr>
          <w:i/>
          <w:sz w:val="20"/>
          <w:szCs w:val="20"/>
        </w:rPr>
        <w:t>Все права агентства защищены. Ни один результат тестового задания не может быть использован без выкупа Заказчиком предложения, согласно прайсу</w:t>
      </w:r>
      <w:r>
        <w:rPr>
          <w:i/>
          <w:sz w:val="20"/>
          <w:szCs w:val="20"/>
          <w:lang w:val="ru-RU"/>
        </w:rPr>
        <w:t>.</w:t>
      </w:r>
    </w:p>
    <w:p w14:paraId="7DB7E17A" w14:textId="77777777" w:rsidR="006D24BF" w:rsidRDefault="006D24BF" w:rsidP="006D24BF">
      <w:pPr>
        <w:spacing w:before="240" w:after="280" w:line="240" w:lineRule="auto"/>
        <w:ind w:left="360"/>
        <w:contextualSpacing/>
        <w:rPr>
          <w:i/>
          <w:sz w:val="20"/>
          <w:szCs w:val="20"/>
          <w:lang w:val="ru-RU"/>
        </w:rPr>
      </w:pPr>
    </w:p>
    <w:p w14:paraId="74AE9393" w14:textId="77777777" w:rsidR="006D24BF" w:rsidRPr="004171A4" w:rsidRDefault="006D24BF" w:rsidP="006D24BF">
      <w:pPr>
        <w:spacing w:before="240" w:after="280" w:line="240" w:lineRule="auto"/>
        <w:ind w:left="360"/>
        <w:contextualSpacing/>
        <w:rPr>
          <w:bCs/>
          <w:sz w:val="20"/>
          <w:szCs w:val="20"/>
          <w:lang w:val="ru-RU"/>
        </w:rPr>
      </w:pPr>
    </w:p>
    <w:p w14:paraId="00000026" w14:textId="32535798" w:rsidR="00CA09A7" w:rsidRPr="003532EB" w:rsidRDefault="008C47D4" w:rsidP="003532EB">
      <w:pPr>
        <w:numPr>
          <w:ilvl w:val="0"/>
          <w:numId w:val="3"/>
        </w:numPr>
        <w:spacing w:before="240" w:after="280"/>
        <w:rPr>
          <w:b/>
          <w:sz w:val="20"/>
          <w:szCs w:val="20"/>
        </w:rPr>
      </w:pPr>
      <w:r w:rsidRPr="00E25AE5">
        <w:rPr>
          <w:b/>
        </w:rPr>
        <w:t>Ожидаемый ответ на RFP</w:t>
      </w:r>
      <w:r>
        <w:rPr>
          <w:b/>
          <w:sz w:val="20"/>
          <w:szCs w:val="20"/>
        </w:rPr>
        <w:br/>
      </w:r>
      <w:r w:rsidRPr="003532EB">
        <w:rPr>
          <w:sz w:val="20"/>
          <w:szCs w:val="20"/>
        </w:rPr>
        <w:t>Предложение должно включать</w:t>
      </w:r>
      <w:r w:rsidR="00C407C3" w:rsidRPr="003532EB">
        <w:rPr>
          <w:sz w:val="20"/>
          <w:szCs w:val="20"/>
          <w:lang w:val="ru-RU"/>
        </w:rPr>
        <w:t xml:space="preserve"> </w:t>
      </w:r>
      <w:r w:rsidR="000E77F2" w:rsidRPr="003532EB">
        <w:rPr>
          <w:sz w:val="20"/>
          <w:szCs w:val="20"/>
        </w:rPr>
        <w:t>(но не ограничиваться):</w:t>
      </w:r>
    </w:p>
    <w:p w14:paraId="17D813BB" w14:textId="77777777" w:rsidR="000E77F2" w:rsidRPr="000E77F2" w:rsidRDefault="000E77F2" w:rsidP="000E77F2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0"/>
          <w:szCs w:val="20"/>
          <w:lang w:val="ru"/>
        </w:rPr>
      </w:pPr>
      <w:r w:rsidRPr="000E77F2">
        <w:rPr>
          <w:rFonts w:ascii="Arial" w:eastAsia="Arial" w:hAnsi="Arial" w:cs="Arial"/>
          <w:sz w:val="20"/>
          <w:szCs w:val="20"/>
          <w:lang w:val="ru"/>
        </w:rPr>
        <w:t>Подтверждение положений и условий RFP;</w:t>
      </w:r>
    </w:p>
    <w:p w14:paraId="5779BB9B" w14:textId="77777777" w:rsidR="000E77F2" w:rsidRPr="000E77F2" w:rsidRDefault="000E77F2" w:rsidP="000E77F2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0"/>
          <w:szCs w:val="20"/>
          <w:lang w:val="ru"/>
        </w:rPr>
      </w:pPr>
      <w:r w:rsidRPr="000E77F2">
        <w:rPr>
          <w:rFonts w:ascii="Arial" w:eastAsia="Arial" w:hAnsi="Arial" w:cs="Arial"/>
          <w:sz w:val="20"/>
          <w:szCs w:val="20"/>
          <w:lang w:val="ru"/>
        </w:rPr>
        <w:t>Указание возможности агентства выполнять весь потенциальный объем работ;</w:t>
      </w:r>
    </w:p>
    <w:p w14:paraId="00000027" w14:textId="77777777" w:rsidR="00CA09A7" w:rsidRDefault="008C47D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Портфолио агентства: информация о компании с примерами работ по аналогичным задачам. Работы в IT секторе станут преимуществом. Предоставляется в виде портфолио в формате </w:t>
      </w:r>
      <w:proofErr w:type="spellStart"/>
      <w:r>
        <w:rPr>
          <w:sz w:val="20"/>
          <w:szCs w:val="20"/>
        </w:rPr>
        <w:t>ppt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pdf</w:t>
      </w:r>
      <w:proofErr w:type="spellEnd"/>
      <w:r>
        <w:rPr>
          <w:sz w:val="20"/>
          <w:szCs w:val="20"/>
        </w:rPr>
        <w:t xml:space="preserve"> c обязательным указанием года реализации проекта, наименования компании-заказчика, краткого описания задачи и финального результата с приложением ссылок, иллюстраций и др. материалов, визуализирующих результаты работ.</w:t>
      </w:r>
    </w:p>
    <w:p w14:paraId="5332F1E0" w14:textId="4E5F1AE0" w:rsidR="000A7EA6" w:rsidRPr="00970647" w:rsidRDefault="008C47D4" w:rsidP="0097064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Описание проектной команды (с указанием ФИО, функционала в рамках указанных </w:t>
      </w:r>
      <w:r w:rsidRPr="000532D2">
        <w:rPr>
          <w:sz w:val="20"/>
          <w:szCs w:val="20"/>
        </w:rPr>
        <w:t>задач, опыта работы и портфолио реализованных кейсов заявленных участников команды).</w:t>
      </w:r>
    </w:p>
    <w:p w14:paraId="6AB3D907" w14:textId="68FB6606" w:rsidR="004171A4" w:rsidRDefault="004171A4" w:rsidP="00DF0688">
      <w:pPr>
        <w:pStyle w:val="Inn0"/>
        <w:numPr>
          <w:ilvl w:val="0"/>
          <w:numId w:val="2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ind w:left="714" w:hanging="357"/>
        <w:jc w:val="both"/>
        <w:rPr>
          <w:rFonts w:ascii="Arial" w:eastAsia="Arial" w:hAnsi="Arial"/>
          <w:color w:val="auto"/>
          <w:lang w:val="ru" w:eastAsia="ru-RU"/>
        </w:rPr>
      </w:pPr>
      <w:proofErr w:type="spellStart"/>
      <w:r>
        <w:rPr>
          <w:rFonts w:ascii="Arial" w:eastAsia="Arial" w:hAnsi="Arial"/>
          <w:color w:val="auto"/>
          <w:lang w:val="ru" w:eastAsia="ru-RU"/>
        </w:rPr>
        <w:t>Таймплан</w:t>
      </w:r>
      <w:proofErr w:type="spellEnd"/>
      <w:r>
        <w:rPr>
          <w:rFonts w:ascii="Arial" w:eastAsia="Arial" w:hAnsi="Arial"/>
          <w:color w:val="auto"/>
          <w:lang w:val="ru" w:eastAsia="ru-RU"/>
        </w:rPr>
        <w:t xml:space="preserve"> подготовки и реализации проекта</w:t>
      </w:r>
    </w:p>
    <w:p w14:paraId="4731F772" w14:textId="77777777" w:rsidR="00DF0688" w:rsidRPr="00DF0688" w:rsidRDefault="00DF0688" w:rsidP="00970E47">
      <w:pPr>
        <w:pStyle w:val="Inn0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spacing w:after="0" w:line="240" w:lineRule="auto"/>
        <w:jc w:val="both"/>
        <w:rPr>
          <w:rFonts w:ascii="Arial" w:eastAsia="Arial" w:hAnsi="Arial"/>
          <w:color w:val="auto"/>
          <w:lang w:val="ru" w:eastAsia="ru-RU"/>
        </w:rPr>
      </w:pPr>
    </w:p>
    <w:p w14:paraId="3C984C5D" w14:textId="653BD213" w:rsidR="0002107E" w:rsidRPr="0002107E" w:rsidRDefault="0002107E">
      <w:pPr>
        <w:numPr>
          <w:ilvl w:val="0"/>
          <w:numId w:val="3"/>
        </w:numPr>
        <w:spacing w:after="280"/>
        <w:jc w:val="both"/>
        <w:rPr>
          <w:b/>
          <w:sz w:val="20"/>
          <w:szCs w:val="20"/>
        </w:rPr>
      </w:pPr>
      <w:r>
        <w:rPr>
          <w:b/>
        </w:rPr>
        <w:t>Квалификационные требования к участнику</w:t>
      </w:r>
    </w:p>
    <w:p w14:paraId="092EBCBD" w14:textId="77777777" w:rsidR="0002107E" w:rsidRDefault="0002107E" w:rsidP="0002107E">
      <w:pPr>
        <w:pStyle w:val="TableContents"/>
        <w:numPr>
          <w:ilvl w:val="3"/>
          <w:numId w:val="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hAnsi="Arial" w:cs="Arial"/>
          <w:sz w:val="20"/>
          <w:szCs w:val="20"/>
        </w:rPr>
        <w:t xml:space="preserve">Агентство-Участник входит в </w:t>
      </w:r>
      <w:r w:rsidRPr="0002107E">
        <w:rPr>
          <w:rFonts w:ascii="Arial" w:hAnsi="Arial" w:cs="Arial"/>
          <w:b/>
          <w:sz w:val="20"/>
          <w:szCs w:val="20"/>
        </w:rPr>
        <w:t>ТОП-10 агентств</w:t>
      </w:r>
      <w:r w:rsidRPr="0002107E">
        <w:rPr>
          <w:rFonts w:ascii="Arial" w:hAnsi="Arial" w:cs="Arial"/>
          <w:sz w:val="20"/>
          <w:szCs w:val="20"/>
        </w:rPr>
        <w:t xml:space="preserve"> по объему медиа закупок в 2022 по версии </w:t>
      </w:r>
      <w:proofErr w:type="spellStart"/>
      <w:r w:rsidRPr="0002107E">
        <w:rPr>
          <w:rFonts w:ascii="Arial" w:hAnsi="Arial" w:cs="Arial"/>
          <w:sz w:val="20"/>
          <w:szCs w:val="20"/>
          <w:lang w:val="en-US"/>
        </w:rPr>
        <w:t>Adindex</w:t>
      </w:r>
      <w:proofErr w:type="spellEnd"/>
      <w:r w:rsidRPr="0002107E">
        <w:rPr>
          <w:rFonts w:ascii="Arial" w:hAnsi="Arial" w:cs="Arial"/>
          <w:sz w:val="20"/>
          <w:szCs w:val="20"/>
        </w:rPr>
        <w:t xml:space="preserve"> (</w:t>
      </w:r>
      <w:hyperlink r:id="rId7" w:history="1">
        <w:r w:rsidRPr="0002107E">
          <w:rPr>
            <w:rStyle w:val="a7"/>
            <w:rFonts w:ascii="Arial" w:hAnsi="Arial" w:cs="Arial"/>
            <w:sz w:val="20"/>
            <w:szCs w:val="20"/>
          </w:rPr>
          <w:t>https://adindex.ru/ratings/mediaservice/2023/313102/</w:t>
        </w:r>
      </w:hyperlink>
      <w:r w:rsidRPr="0002107E">
        <w:rPr>
          <w:rFonts w:ascii="Arial" w:hAnsi="Arial" w:cs="Arial"/>
          <w:sz w:val="20"/>
          <w:szCs w:val="20"/>
        </w:rPr>
        <w:t>)</w:t>
      </w:r>
    </w:p>
    <w:p w14:paraId="48A28051" w14:textId="77777777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eastAsia="Calibri" w:hAnsi="Arial" w:cs="Arial"/>
          <w:b/>
          <w:sz w:val="20"/>
          <w:szCs w:val="20"/>
        </w:rPr>
        <w:t>Подтверждается</w:t>
      </w:r>
      <w:r w:rsidRPr="0002107E">
        <w:rPr>
          <w:rFonts w:ascii="Arial" w:eastAsia="Calibri" w:hAnsi="Arial" w:cs="Arial"/>
          <w:sz w:val="20"/>
          <w:szCs w:val="20"/>
        </w:rPr>
        <w:t>: ссылкой на информацию и скриншотом со страницы размещения рейтинга, подтверждающего рейтинг участника на бланке организации с подписью и печатью.</w:t>
      </w:r>
    </w:p>
    <w:p w14:paraId="299B8232" w14:textId="77777777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</w:p>
    <w:p w14:paraId="1D7D9BE4" w14:textId="77777777" w:rsidR="0002107E" w:rsidRDefault="0002107E" w:rsidP="0002107E">
      <w:pPr>
        <w:pStyle w:val="TableContents"/>
        <w:numPr>
          <w:ilvl w:val="3"/>
          <w:numId w:val="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hAnsi="Arial" w:cs="Arial"/>
          <w:sz w:val="20"/>
          <w:szCs w:val="20"/>
        </w:rPr>
        <w:t>Опыт оказания аналогичных услуг, связанный с объектом закупки.</w:t>
      </w:r>
    </w:p>
    <w:p w14:paraId="3ABABF9F" w14:textId="7E86B9B9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hAnsi="Arial" w:cs="Arial"/>
          <w:sz w:val="20"/>
          <w:szCs w:val="20"/>
        </w:rPr>
        <w:t xml:space="preserve">Под опытом оказания услуг, связанных с предметом договора, понимаются успешно исполненные (без применения штрафных санкций, неустоек, пений и т.д.) договоры по рекламному продвижению и оказанию услуг на сумму не менее чем </w:t>
      </w:r>
      <w:r w:rsidR="000016A0">
        <w:rPr>
          <w:rFonts w:ascii="Arial" w:hAnsi="Arial" w:cs="Arial"/>
          <w:sz w:val="20"/>
          <w:szCs w:val="20"/>
        </w:rPr>
        <w:t>3</w:t>
      </w:r>
      <w:r w:rsidR="00970647">
        <w:rPr>
          <w:rFonts w:ascii="Arial" w:hAnsi="Arial" w:cs="Arial"/>
          <w:sz w:val="20"/>
          <w:szCs w:val="20"/>
        </w:rPr>
        <w:t> 000 000</w:t>
      </w:r>
      <w:r w:rsidR="00970647" w:rsidRPr="00970647">
        <w:rPr>
          <w:rFonts w:ascii="Arial" w:hAnsi="Arial" w:cs="Arial"/>
          <w:sz w:val="20"/>
          <w:szCs w:val="20"/>
        </w:rPr>
        <w:t>,</w:t>
      </w:r>
      <w:r w:rsidR="00970647">
        <w:rPr>
          <w:rFonts w:ascii="Arial" w:hAnsi="Arial" w:cs="Arial"/>
          <w:sz w:val="20"/>
          <w:szCs w:val="20"/>
        </w:rPr>
        <w:t xml:space="preserve">00 </w:t>
      </w:r>
      <w:r w:rsidRPr="0002107E">
        <w:rPr>
          <w:rFonts w:ascii="Arial" w:hAnsi="Arial" w:cs="Arial"/>
          <w:sz w:val="20"/>
          <w:szCs w:val="20"/>
        </w:rPr>
        <w:t xml:space="preserve">рублей каждый. </w:t>
      </w:r>
    </w:p>
    <w:p w14:paraId="3913CC5A" w14:textId="77777777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hAnsi="Arial" w:cs="Arial"/>
          <w:sz w:val="20"/>
          <w:szCs w:val="20"/>
        </w:rPr>
        <w:t xml:space="preserve">Оценка заявок на участие в запросе предложений по данному критерию требует предоставления не </w:t>
      </w:r>
      <w:r w:rsidRPr="0002107E">
        <w:rPr>
          <w:rFonts w:ascii="Arial" w:hAnsi="Arial" w:cs="Arial"/>
          <w:b/>
          <w:sz w:val="20"/>
          <w:szCs w:val="20"/>
        </w:rPr>
        <w:t>менее 6 исполненных договоров</w:t>
      </w:r>
      <w:r w:rsidRPr="0002107E">
        <w:rPr>
          <w:rFonts w:ascii="Arial" w:hAnsi="Arial" w:cs="Arial"/>
          <w:sz w:val="20"/>
          <w:szCs w:val="20"/>
        </w:rPr>
        <w:t>.</w:t>
      </w:r>
      <w:bookmarkStart w:id="0" w:name="_Hlk130838720"/>
    </w:p>
    <w:p w14:paraId="1982200A" w14:textId="77777777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eastAsia="Calibri" w:hAnsi="Arial" w:cs="Arial"/>
          <w:b/>
          <w:color w:val="000000"/>
          <w:sz w:val="20"/>
          <w:szCs w:val="20"/>
        </w:rPr>
        <w:t>Подтверждается:</w:t>
      </w:r>
      <w:r w:rsidRPr="0002107E">
        <w:rPr>
          <w:rFonts w:ascii="Arial" w:eastAsia="Calibri" w:hAnsi="Arial" w:cs="Arial"/>
          <w:sz w:val="20"/>
          <w:szCs w:val="20"/>
        </w:rPr>
        <w:t xml:space="preserve"> копией исполненных договоров (контрактов) и актов оказанных услуг.</w:t>
      </w:r>
      <w:bookmarkEnd w:id="0"/>
    </w:p>
    <w:p w14:paraId="03998AB8" w14:textId="77777777" w:rsidR="0002107E" w:rsidRDefault="0002107E" w:rsidP="0002107E">
      <w:pPr>
        <w:pStyle w:val="TableContents"/>
        <w:ind w:left="709"/>
        <w:jc w:val="both"/>
        <w:rPr>
          <w:rFonts w:ascii="Arial" w:eastAsia="Times New Roman" w:hAnsi="Arial" w:cs="Arial"/>
          <w:sz w:val="20"/>
          <w:szCs w:val="20"/>
        </w:rPr>
      </w:pPr>
    </w:p>
    <w:p w14:paraId="4C56D349" w14:textId="77777777" w:rsidR="0002107E" w:rsidRDefault="0002107E" w:rsidP="0002107E">
      <w:pPr>
        <w:pStyle w:val="TableContents"/>
        <w:ind w:left="709"/>
        <w:jc w:val="both"/>
        <w:rPr>
          <w:rFonts w:ascii="Arial" w:hAnsi="Arial" w:cs="Arial"/>
          <w:sz w:val="20"/>
          <w:szCs w:val="20"/>
        </w:rPr>
      </w:pPr>
    </w:p>
    <w:p w14:paraId="1822D694" w14:textId="77777777" w:rsidR="0002107E" w:rsidRDefault="0002107E" w:rsidP="0002107E">
      <w:pPr>
        <w:pStyle w:val="TableContents"/>
        <w:numPr>
          <w:ilvl w:val="3"/>
          <w:numId w:val="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hAnsi="Arial" w:cs="Arial"/>
          <w:sz w:val="20"/>
          <w:szCs w:val="20"/>
        </w:rPr>
        <w:t>Участник должен подтвердить готовность предоставления доступа в онлайн система управления размещением наружной рекламы на период действия договора.</w:t>
      </w:r>
      <w:r>
        <w:rPr>
          <w:rFonts w:ascii="Arial" w:hAnsi="Arial" w:cs="Arial"/>
          <w:sz w:val="20"/>
          <w:szCs w:val="20"/>
        </w:rPr>
        <w:t xml:space="preserve"> </w:t>
      </w:r>
      <w:r w:rsidRPr="0002107E">
        <w:rPr>
          <w:rFonts w:ascii="Arial" w:eastAsia="Calibri" w:hAnsi="Arial" w:cs="Arial"/>
          <w:b/>
          <w:color w:val="000000"/>
          <w:sz w:val="20"/>
          <w:szCs w:val="20"/>
        </w:rPr>
        <w:t>Подтверждается:</w:t>
      </w:r>
      <w:r w:rsidRPr="0002107E">
        <w:rPr>
          <w:rFonts w:ascii="Arial" w:eastAsia="Calibri" w:hAnsi="Arial" w:cs="Arial"/>
          <w:sz w:val="20"/>
          <w:szCs w:val="20"/>
        </w:rPr>
        <w:t xml:space="preserve"> официальным письмом от участника и презентацией с описанием функционала онлайн системы.</w:t>
      </w:r>
    </w:p>
    <w:p w14:paraId="0B8E98F3" w14:textId="77777777" w:rsidR="0002107E" w:rsidRPr="00E67960" w:rsidRDefault="0002107E" w:rsidP="00E67960">
      <w:pPr>
        <w:rPr>
          <w:rFonts w:eastAsia="Calibri"/>
          <w:sz w:val="20"/>
          <w:szCs w:val="20"/>
        </w:rPr>
      </w:pPr>
    </w:p>
    <w:p w14:paraId="60F7D2C6" w14:textId="77777777" w:rsidR="0002107E" w:rsidRDefault="0002107E" w:rsidP="00F32FAB">
      <w:pPr>
        <w:pStyle w:val="TableContents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06E2328E" w14:textId="703FF71C" w:rsidR="0002107E" w:rsidRPr="0002107E" w:rsidRDefault="0002107E" w:rsidP="0002107E">
      <w:pPr>
        <w:pStyle w:val="TableContents"/>
        <w:numPr>
          <w:ilvl w:val="3"/>
          <w:numId w:val="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02107E">
        <w:rPr>
          <w:rFonts w:ascii="Arial" w:hAnsi="Arial" w:cs="Arial"/>
          <w:sz w:val="20"/>
          <w:szCs w:val="20"/>
        </w:rPr>
        <w:t>От одной коммуникационной группы может участвовать только одно агентство.</w:t>
      </w:r>
    </w:p>
    <w:p w14:paraId="6251A79A" w14:textId="2EC5B6AF" w:rsidR="007F7F58" w:rsidRPr="00F177AE" w:rsidRDefault="007F7F58" w:rsidP="003532EB">
      <w:pPr>
        <w:spacing w:after="40"/>
        <w:rPr>
          <w:b/>
          <w:sz w:val="20"/>
          <w:szCs w:val="20"/>
          <w:lang w:val="ru-RU"/>
        </w:rPr>
      </w:pPr>
    </w:p>
    <w:p w14:paraId="148372F6" w14:textId="6894E087" w:rsidR="004D0389" w:rsidRPr="004D0389" w:rsidRDefault="004D0389" w:rsidP="007F7F58">
      <w:pPr>
        <w:spacing w:after="40"/>
        <w:rPr>
          <w:rStyle w:val="a7"/>
          <w:sz w:val="20"/>
          <w:szCs w:val="20"/>
          <w:lang w:val="ru-RU"/>
        </w:rPr>
      </w:pPr>
    </w:p>
    <w:p w14:paraId="00000030" w14:textId="7372FEDE" w:rsidR="00CA09A7" w:rsidRPr="007F7F58" w:rsidRDefault="00CA09A7" w:rsidP="00E67960">
      <w:pPr>
        <w:spacing w:after="40"/>
        <w:rPr>
          <w:b/>
          <w:sz w:val="20"/>
          <w:szCs w:val="20"/>
        </w:rPr>
      </w:pPr>
    </w:p>
    <w:sectPr w:rsidR="00CA09A7" w:rsidRPr="007F7F5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BoldMT">
    <w:altName w:val="MS Mincho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6F7B"/>
    <w:multiLevelType w:val="hybridMultilevel"/>
    <w:tmpl w:val="0914AF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6432"/>
    <w:multiLevelType w:val="hybridMultilevel"/>
    <w:tmpl w:val="3E2EF9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C70E9C"/>
    <w:multiLevelType w:val="hybridMultilevel"/>
    <w:tmpl w:val="3C0E3A58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15F92DE8"/>
    <w:multiLevelType w:val="multilevel"/>
    <w:tmpl w:val="7C88DDBE"/>
    <w:lvl w:ilvl="0">
      <w:start w:val="1"/>
      <w:numFmt w:val="decimal"/>
      <w:pStyle w:val="Inn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pStyle w:val="Inn0"/>
      <w:lvlText w:val="%1.%2."/>
      <w:lvlJc w:val="left"/>
      <w:pPr>
        <w:ind w:left="292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B544B5"/>
    <w:multiLevelType w:val="hybridMultilevel"/>
    <w:tmpl w:val="327E51A2"/>
    <w:lvl w:ilvl="0" w:tplc="04190011">
      <w:start w:val="1"/>
      <w:numFmt w:val="decimal"/>
      <w:lvlText w:val="%1)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2232071A"/>
    <w:multiLevelType w:val="multilevel"/>
    <w:tmpl w:val="22FC9116"/>
    <w:lvl w:ilvl="0">
      <w:start w:val="1"/>
      <w:numFmt w:val="bullet"/>
      <w:lvlText w:val="➔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27BC0198"/>
    <w:multiLevelType w:val="multilevel"/>
    <w:tmpl w:val="8E48056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CFE57D7"/>
    <w:multiLevelType w:val="hybridMultilevel"/>
    <w:tmpl w:val="1C1EE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5F6498"/>
    <w:multiLevelType w:val="hybridMultilevel"/>
    <w:tmpl w:val="F344171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A2736E1"/>
    <w:multiLevelType w:val="hybridMultilevel"/>
    <w:tmpl w:val="1272F2B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C396ACF"/>
    <w:multiLevelType w:val="hybridMultilevel"/>
    <w:tmpl w:val="BFAE1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410B5"/>
    <w:multiLevelType w:val="multilevel"/>
    <w:tmpl w:val="A7285490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7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9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29" w:hanging="1800"/>
      </w:pPr>
      <w:rPr>
        <w:rFonts w:hint="default"/>
        <w:color w:val="auto"/>
      </w:rPr>
    </w:lvl>
  </w:abstractNum>
  <w:abstractNum w:abstractNumId="12" w15:restartNumberingAfterBreak="0">
    <w:nsid w:val="5CE90FFB"/>
    <w:multiLevelType w:val="hybridMultilevel"/>
    <w:tmpl w:val="841831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D453CD0"/>
    <w:multiLevelType w:val="multilevel"/>
    <w:tmpl w:val="847C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DE735D"/>
    <w:multiLevelType w:val="multilevel"/>
    <w:tmpl w:val="D55A8D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Lucida Sans Unicode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10"/>
  </w:num>
  <w:num w:numId="10">
    <w:abstractNumId w:val="3"/>
  </w:num>
  <w:num w:numId="11">
    <w:abstractNumId w:val="13"/>
  </w:num>
  <w:num w:numId="12">
    <w:abstractNumId w:val="2"/>
  </w:num>
  <w:num w:numId="13">
    <w:abstractNumId w:val="3"/>
  </w:num>
  <w:num w:numId="14">
    <w:abstractNumId w:val="8"/>
  </w:num>
  <w:num w:numId="15">
    <w:abstractNumId w:val="3"/>
  </w:num>
  <w:num w:numId="16">
    <w:abstractNumId w:val="4"/>
  </w:num>
  <w:num w:numId="17">
    <w:abstractNumId w:val="3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9A7"/>
    <w:rsid w:val="000016A0"/>
    <w:rsid w:val="00005017"/>
    <w:rsid w:val="0002107E"/>
    <w:rsid w:val="00025DCB"/>
    <w:rsid w:val="000447C9"/>
    <w:rsid w:val="000532D2"/>
    <w:rsid w:val="0008642F"/>
    <w:rsid w:val="000A7EA6"/>
    <w:rsid w:val="000E77F2"/>
    <w:rsid w:val="00110B80"/>
    <w:rsid w:val="00126B02"/>
    <w:rsid w:val="00152428"/>
    <w:rsid w:val="001A50F0"/>
    <w:rsid w:val="00277060"/>
    <w:rsid w:val="00281F1F"/>
    <w:rsid w:val="002E5526"/>
    <w:rsid w:val="00350A02"/>
    <w:rsid w:val="003532EB"/>
    <w:rsid w:val="00373A59"/>
    <w:rsid w:val="003A3764"/>
    <w:rsid w:val="003B1766"/>
    <w:rsid w:val="003B3CE9"/>
    <w:rsid w:val="003F0778"/>
    <w:rsid w:val="00407ADA"/>
    <w:rsid w:val="004171A4"/>
    <w:rsid w:val="004401CF"/>
    <w:rsid w:val="0044213A"/>
    <w:rsid w:val="004714B6"/>
    <w:rsid w:val="00473983"/>
    <w:rsid w:val="004B2377"/>
    <w:rsid w:val="004D0389"/>
    <w:rsid w:val="00571337"/>
    <w:rsid w:val="005853B5"/>
    <w:rsid w:val="00595449"/>
    <w:rsid w:val="005C1882"/>
    <w:rsid w:val="005D7E91"/>
    <w:rsid w:val="00616EF9"/>
    <w:rsid w:val="00624A41"/>
    <w:rsid w:val="006327AB"/>
    <w:rsid w:val="006A6BAA"/>
    <w:rsid w:val="006D24BF"/>
    <w:rsid w:val="00700EBC"/>
    <w:rsid w:val="0070488C"/>
    <w:rsid w:val="00752EA9"/>
    <w:rsid w:val="007601A3"/>
    <w:rsid w:val="00785828"/>
    <w:rsid w:val="00785AE3"/>
    <w:rsid w:val="007F7F58"/>
    <w:rsid w:val="00800A0F"/>
    <w:rsid w:val="008A2062"/>
    <w:rsid w:val="008C47D4"/>
    <w:rsid w:val="008E79F9"/>
    <w:rsid w:val="00900A0D"/>
    <w:rsid w:val="009110C8"/>
    <w:rsid w:val="00970647"/>
    <w:rsid w:val="00970E47"/>
    <w:rsid w:val="009950D9"/>
    <w:rsid w:val="009C5A24"/>
    <w:rsid w:val="009C6F24"/>
    <w:rsid w:val="009D015B"/>
    <w:rsid w:val="009F1F12"/>
    <w:rsid w:val="00A678F6"/>
    <w:rsid w:val="00A769FE"/>
    <w:rsid w:val="00A77FE4"/>
    <w:rsid w:val="00B11341"/>
    <w:rsid w:val="00B20C4B"/>
    <w:rsid w:val="00B21DC3"/>
    <w:rsid w:val="00BA5A80"/>
    <w:rsid w:val="00BB0281"/>
    <w:rsid w:val="00C32017"/>
    <w:rsid w:val="00C407C3"/>
    <w:rsid w:val="00CA09A7"/>
    <w:rsid w:val="00D4722C"/>
    <w:rsid w:val="00D56C8F"/>
    <w:rsid w:val="00D65B11"/>
    <w:rsid w:val="00D67113"/>
    <w:rsid w:val="00DA43D9"/>
    <w:rsid w:val="00DA72CB"/>
    <w:rsid w:val="00DF0688"/>
    <w:rsid w:val="00E10592"/>
    <w:rsid w:val="00E25AE5"/>
    <w:rsid w:val="00E31195"/>
    <w:rsid w:val="00E61B4E"/>
    <w:rsid w:val="00E67960"/>
    <w:rsid w:val="00E93679"/>
    <w:rsid w:val="00EB13C7"/>
    <w:rsid w:val="00F177AE"/>
    <w:rsid w:val="00F23B8B"/>
    <w:rsid w:val="00F328AC"/>
    <w:rsid w:val="00F32FAB"/>
    <w:rsid w:val="00F33062"/>
    <w:rsid w:val="00F80647"/>
    <w:rsid w:val="00FB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B1CF"/>
  <w15:docId w15:val="{B1E3D41B-F63B-E247-990F-DE63F214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pple-converted-space">
    <w:name w:val="apple-converted-space"/>
    <w:basedOn w:val="a0"/>
    <w:rsid w:val="00A77FE4"/>
  </w:style>
  <w:style w:type="paragraph" w:styleId="a5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"/>
    <w:link w:val="a6"/>
    <w:uiPriority w:val="34"/>
    <w:qFormat/>
    <w:rsid w:val="00281F1F"/>
    <w:pPr>
      <w:spacing w:after="200" w:line="312" w:lineRule="auto"/>
      <w:ind w:left="720"/>
      <w:contextualSpacing/>
    </w:pPr>
    <w:rPr>
      <w:rFonts w:eastAsia="Times New Roman" w:cs="Times New Roman"/>
      <w:spacing w:val="4"/>
      <w:sz w:val="24"/>
      <w:szCs w:val="24"/>
      <w:lang w:val="ru-RU"/>
    </w:rPr>
  </w:style>
  <w:style w:type="character" w:customStyle="1" w:styleId="a6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"/>
    <w:basedOn w:val="a0"/>
    <w:link w:val="a5"/>
    <w:uiPriority w:val="34"/>
    <w:qFormat/>
    <w:locked/>
    <w:rsid w:val="00281F1F"/>
    <w:rPr>
      <w:rFonts w:eastAsia="Times New Roman" w:cs="Times New Roman"/>
      <w:spacing w:val="4"/>
      <w:sz w:val="24"/>
      <w:szCs w:val="24"/>
      <w:lang w:val="ru-RU"/>
    </w:rPr>
  </w:style>
  <w:style w:type="paragraph" w:customStyle="1" w:styleId="TableContents">
    <w:name w:val="Table Contents"/>
    <w:basedOn w:val="a"/>
    <w:rsid w:val="0002107E"/>
    <w:pPr>
      <w:suppressLineNumbers/>
      <w:suppressAutoHyphens/>
      <w:spacing w:line="240" w:lineRule="auto"/>
    </w:pPr>
    <w:rPr>
      <w:rFonts w:ascii="Times New Roman" w:eastAsia="Lucida Sans Unicode" w:hAnsi="Times New Roman" w:cs="Tahoma"/>
      <w:kern w:val="1"/>
      <w:sz w:val="24"/>
      <w:szCs w:val="24"/>
      <w:lang w:val="ru-RU" w:bidi="ru-RU"/>
    </w:rPr>
  </w:style>
  <w:style w:type="character" w:styleId="a7">
    <w:name w:val="Hyperlink"/>
    <w:uiPriority w:val="99"/>
    <w:unhideWhenUsed/>
    <w:rsid w:val="0002107E"/>
    <w:rPr>
      <w:color w:val="0563C1"/>
      <w:u w:val="single"/>
    </w:rPr>
  </w:style>
  <w:style w:type="paragraph" w:customStyle="1" w:styleId="Inn">
    <w:name w:val="Inn. Заг. раздела"/>
    <w:next w:val="Inn0"/>
    <w:qFormat/>
    <w:rsid w:val="000E77F2"/>
    <w:pPr>
      <w:numPr>
        <w:numId w:val="8"/>
      </w:numPr>
      <w:spacing w:before="240" w:after="120" w:line="240" w:lineRule="auto"/>
    </w:pPr>
    <w:rPr>
      <w:rFonts w:asciiTheme="minorHAnsi" w:eastAsiaTheme="minorHAnsi" w:hAnsiTheme="minorHAnsi"/>
      <w:b/>
      <w:bCs/>
      <w:sz w:val="24"/>
      <w:szCs w:val="20"/>
      <w:lang w:val="ru-RU" w:eastAsia="en-US"/>
    </w:rPr>
  </w:style>
  <w:style w:type="paragraph" w:customStyle="1" w:styleId="Inn0">
    <w:name w:val="Inn. Пункты"/>
    <w:basedOn w:val="a"/>
    <w:qFormat/>
    <w:rsid w:val="000E77F2"/>
    <w:pPr>
      <w:numPr>
        <w:ilvl w:val="1"/>
        <w:numId w:val="8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spacing w:after="60"/>
      <w:ind w:right="142"/>
    </w:pPr>
    <w:rPr>
      <w:rFonts w:asciiTheme="minorHAnsi" w:eastAsiaTheme="minorHAnsi" w:hAnsiTheme="minorHAnsi"/>
      <w:color w:val="000000"/>
      <w:sz w:val="20"/>
      <w:szCs w:val="20"/>
      <w:lang w:val="ru-RU" w:eastAsia="en-US"/>
    </w:rPr>
  </w:style>
  <w:style w:type="paragraph" w:styleId="a8">
    <w:name w:val="Normal (Web)"/>
    <w:basedOn w:val="a"/>
    <w:uiPriority w:val="99"/>
    <w:unhideWhenUsed/>
    <w:rsid w:val="000E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21">
    <w:name w:val="fontstyle21"/>
    <w:basedOn w:val="a0"/>
    <w:rsid w:val="00571337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styleId="a9">
    <w:name w:val="footnote reference"/>
    <w:basedOn w:val="a0"/>
    <w:uiPriority w:val="99"/>
    <w:rsid w:val="003F0778"/>
    <w:rPr>
      <w:vertAlign w:val="superscript"/>
    </w:rPr>
  </w:style>
  <w:style w:type="character" w:styleId="aa">
    <w:name w:val="Unresolved Mention"/>
    <w:basedOn w:val="a0"/>
    <w:uiPriority w:val="99"/>
    <w:semiHidden/>
    <w:unhideWhenUsed/>
    <w:rsid w:val="00110B8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33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ndex.ru/ratings/mediaservice/2023/3131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1.ru/" TargetMode="External"/><Relationship Id="rId5" Type="http://schemas.openxmlformats.org/officeDocument/2006/relationships/hyperlink" Target="https://t1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Середкина Вероника Евгеньевна</cp:lastModifiedBy>
  <cp:revision>7</cp:revision>
  <dcterms:created xsi:type="dcterms:W3CDTF">2023-08-30T07:50:00Z</dcterms:created>
  <dcterms:modified xsi:type="dcterms:W3CDTF">2023-09-04T12:32:00Z</dcterms:modified>
</cp:coreProperties>
</file>