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3295" w14:textId="77777777" w:rsidR="00B16622" w:rsidRPr="00417FE5" w:rsidRDefault="00AB664C" w:rsidP="005B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17FE5">
        <w:rPr>
          <w:rFonts w:ascii="Arial" w:eastAsia="Times New Roman" w:hAnsi="Arial" w:cs="Arial"/>
          <w:b/>
          <w:lang w:eastAsia="ru-RU"/>
        </w:rPr>
        <w:t xml:space="preserve">Техническое задание </w:t>
      </w:r>
    </w:p>
    <w:p w14:paraId="08FFFA51" w14:textId="2298DC3C" w:rsidR="00CA21D9" w:rsidRPr="00FD3B7D" w:rsidRDefault="00CA21D9" w:rsidP="00CA21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D3B7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на </w:t>
      </w:r>
      <w:r w:rsidR="00027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предоставление права использования </w:t>
      </w:r>
      <w:r w:rsidR="004C270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</w:t>
      </w:r>
      <w:proofErr w:type="spellStart"/>
      <w:r w:rsidR="00027E69" w:rsidRPr="00027E69">
        <w:rPr>
          <w:rFonts w:ascii="Arial" w:eastAsia="Times New Roman" w:hAnsi="Arial" w:cs="Arial"/>
          <w:b/>
          <w:sz w:val="20"/>
          <w:szCs w:val="20"/>
          <w:lang w:eastAsia="ru-RU"/>
        </w:rPr>
        <w:t>Application</w:t>
      </w:r>
      <w:proofErr w:type="spellEnd"/>
      <w:r w:rsidR="00027E69" w:rsidRPr="00027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027E69" w:rsidRPr="00027E69">
        <w:rPr>
          <w:rFonts w:ascii="Arial" w:eastAsia="Times New Roman" w:hAnsi="Arial" w:cs="Arial"/>
          <w:b/>
          <w:sz w:val="20"/>
          <w:szCs w:val="20"/>
          <w:lang w:eastAsia="ru-RU"/>
        </w:rPr>
        <w:t>Manager</w:t>
      </w:r>
      <w:proofErr w:type="spellEnd"/>
      <w:r w:rsidR="00027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C270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 </w:t>
      </w:r>
      <w:r w:rsidRPr="00FD3B7D">
        <w:rPr>
          <w:rFonts w:ascii="Arial" w:eastAsia="Times New Roman" w:hAnsi="Arial" w:cs="Arial"/>
          <w:b/>
          <w:sz w:val="20"/>
          <w:szCs w:val="20"/>
          <w:lang w:eastAsia="ru-RU"/>
        </w:rPr>
        <w:t>услуги технической поддержки.</w:t>
      </w:r>
    </w:p>
    <w:p w14:paraId="339EEB8C" w14:textId="77777777" w:rsidR="005B09A8" w:rsidRPr="00417FE5" w:rsidRDefault="005B09A8" w:rsidP="005B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14:paraId="362E973D" w14:textId="4448EC83" w:rsidR="00CA21D9" w:rsidRDefault="00CA21D9" w:rsidP="000C75E8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0C75E8">
        <w:rPr>
          <w:rFonts w:ascii="Arial" w:hAnsi="Arial" w:cs="Arial"/>
          <w:b/>
          <w:iCs/>
          <w:sz w:val="20"/>
          <w:szCs w:val="20"/>
        </w:rPr>
        <w:t xml:space="preserve">Заказчик </w:t>
      </w:r>
      <w:r w:rsidRPr="000C75E8">
        <w:rPr>
          <w:rFonts w:ascii="Arial" w:hAnsi="Arial" w:cs="Arial"/>
          <w:iCs/>
          <w:sz w:val="20"/>
          <w:szCs w:val="20"/>
        </w:rPr>
        <w:t>– ООО «ГК «</w:t>
      </w:r>
      <w:proofErr w:type="spellStart"/>
      <w:r w:rsidRPr="000C75E8">
        <w:rPr>
          <w:rFonts w:ascii="Arial" w:hAnsi="Arial" w:cs="Arial"/>
          <w:iCs/>
          <w:sz w:val="20"/>
          <w:szCs w:val="20"/>
        </w:rPr>
        <w:t>Иннотех</w:t>
      </w:r>
      <w:proofErr w:type="spellEnd"/>
      <w:r w:rsidRPr="000C75E8">
        <w:rPr>
          <w:rFonts w:ascii="Arial" w:hAnsi="Arial" w:cs="Arial"/>
          <w:iCs/>
          <w:sz w:val="20"/>
          <w:szCs w:val="20"/>
        </w:rPr>
        <w:t>».</w:t>
      </w:r>
    </w:p>
    <w:p w14:paraId="3CA6401F" w14:textId="77777777" w:rsidR="00654BF5" w:rsidRPr="000C75E8" w:rsidRDefault="00654BF5" w:rsidP="00654BF5">
      <w:pPr>
        <w:pStyle w:val="a3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46CE0B8" w14:textId="7985E895" w:rsidR="00CA21D9" w:rsidRDefault="00CA21D9" w:rsidP="000C75E8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 w:rsidRPr="000C75E8">
        <w:rPr>
          <w:rFonts w:ascii="Arial" w:hAnsi="Arial" w:cs="Arial"/>
          <w:b/>
          <w:iCs/>
          <w:sz w:val="20"/>
          <w:szCs w:val="20"/>
        </w:rPr>
        <w:t>Исполнитель</w:t>
      </w:r>
      <w:r w:rsidRPr="000C75E8">
        <w:rPr>
          <w:rFonts w:ascii="Arial" w:hAnsi="Arial" w:cs="Arial"/>
          <w:iCs/>
          <w:sz w:val="20"/>
          <w:szCs w:val="20"/>
        </w:rPr>
        <w:t xml:space="preserve"> – ю/л, оказывающее услуги ТП</w:t>
      </w:r>
      <w:r w:rsidR="00027E69">
        <w:rPr>
          <w:rFonts w:ascii="Arial" w:hAnsi="Arial" w:cs="Arial"/>
          <w:iCs/>
          <w:sz w:val="20"/>
          <w:szCs w:val="20"/>
        </w:rPr>
        <w:t xml:space="preserve"> и предоставляющий право использования</w:t>
      </w:r>
      <w:r w:rsidRPr="000C75E8">
        <w:rPr>
          <w:rFonts w:ascii="Arial" w:hAnsi="Arial" w:cs="Arial"/>
          <w:iCs/>
          <w:sz w:val="20"/>
          <w:szCs w:val="20"/>
        </w:rPr>
        <w:t xml:space="preserve"> ПО </w:t>
      </w:r>
      <w:proofErr w:type="spellStart"/>
      <w:r w:rsidR="00027E69" w:rsidRPr="00027E69">
        <w:rPr>
          <w:rFonts w:ascii="Arial" w:eastAsia="Times New Roman" w:hAnsi="Arial" w:cs="Arial"/>
          <w:b/>
          <w:sz w:val="20"/>
          <w:szCs w:val="20"/>
          <w:lang w:eastAsia="ru-RU"/>
        </w:rPr>
        <w:t>Application</w:t>
      </w:r>
      <w:proofErr w:type="spellEnd"/>
      <w:r w:rsidR="00027E69" w:rsidRPr="00027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027E69" w:rsidRPr="00027E69">
        <w:rPr>
          <w:rFonts w:ascii="Arial" w:eastAsia="Times New Roman" w:hAnsi="Arial" w:cs="Arial"/>
          <w:b/>
          <w:sz w:val="20"/>
          <w:szCs w:val="20"/>
          <w:lang w:eastAsia="ru-RU"/>
        </w:rPr>
        <w:t>Manager</w:t>
      </w:r>
      <w:proofErr w:type="spellEnd"/>
      <w:r w:rsidRPr="000C75E8">
        <w:rPr>
          <w:rFonts w:ascii="Arial" w:hAnsi="Arial" w:cs="Arial"/>
          <w:iCs/>
          <w:sz w:val="20"/>
          <w:szCs w:val="20"/>
        </w:rPr>
        <w:t>, победитель закупочной процедуры.</w:t>
      </w:r>
      <w:r w:rsidRPr="000C75E8">
        <w:rPr>
          <w:rFonts w:ascii="Arial" w:hAnsi="Arial" w:cs="Arial"/>
          <w:b/>
          <w:iCs/>
          <w:sz w:val="20"/>
          <w:szCs w:val="20"/>
        </w:rPr>
        <w:t xml:space="preserve">  </w:t>
      </w:r>
      <w:r w:rsidR="00EF11F8" w:rsidRPr="009031C6">
        <w:rPr>
          <w:rFonts w:ascii="Arial" w:hAnsi="Arial" w:cs="Arial"/>
          <w:iCs/>
          <w:sz w:val="20"/>
          <w:szCs w:val="20"/>
        </w:rPr>
        <w:t>С Исполнителем будут заключены два отдельных договора – сублицензионный и оказание услуг ТП.</w:t>
      </w:r>
      <w:r w:rsidR="00EF11F8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243C438F" w14:textId="77777777" w:rsidR="00654BF5" w:rsidRPr="000C75E8" w:rsidRDefault="00654BF5" w:rsidP="00654BF5">
      <w:pPr>
        <w:pStyle w:val="a3"/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5833701A" w14:textId="55D713C3" w:rsidR="00AE4B8C" w:rsidRPr="00654BF5" w:rsidRDefault="00AE4B8C" w:rsidP="000C75E8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 w:rsidRPr="000C75E8">
        <w:rPr>
          <w:rFonts w:ascii="Arial" w:hAnsi="Arial" w:cs="Arial"/>
          <w:b/>
          <w:iCs/>
          <w:sz w:val="20"/>
          <w:szCs w:val="20"/>
        </w:rPr>
        <w:t xml:space="preserve">Вендор </w:t>
      </w:r>
      <w:r w:rsidRPr="000C75E8">
        <w:rPr>
          <w:rFonts w:ascii="Arial" w:hAnsi="Arial" w:cs="Arial"/>
          <w:iCs/>
          <w:sz w:val="20"/>
          <w:szCs w:val="20"/>
        </w:rPr>
        <w:t>– ООО «</w:t>
      </w:r>
      <w:proofErr w:type="spellStart"/>
      <w:r w:rsidRPr="000C75E8">
        <w:rPr>
          <w:rFonts w:ascii="Arial" w:hAnsi="Arial" w:cs="Arial"/>
          <w:iCs/>
          <w:sz w:val="20"/>
          <w:szCs w:val="20"/>
        </w:rPr>
        <w:t>Оптимакрос</w:t>
      </w:r>
      <w:proofErr w:type="spellEnd"/>
      <w:r w:rsidRPr="000C75E8">
        <w:rPr>
          <w:rFonts w:ascii="Arial" w:hAnsi="Arial" w:cs="Arial"/>
          <w:iCs/>
          <w:sz w:val="20"/>
          <w:szCs w:val="20"/>
        </w:rPr>
        <w:t>», правообладатель ПО.</w:t>
      </w:r>
    </w:p>
    <w:p w14:paraId="118F1B6F" w14:textId="77777777" w:rsidR="00654BF5" w:rsidRPr="000C75E8" w:rsidRDefault="00654BF5" w:rsidP="00654BF5">
      <w:pPr>
        <w:pStyle w:val="a3"/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290D46C9" w14:textId="645DF814" w:rsidR="005B09A8" w:rsidRDefault="005B09A8" w:rsidP="000C75E8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>Место оказания услуг</w:t>
      </w:r>
      <w:r w:rsidR="00CA21D9"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C75E8" w:rsidRPr="000C75E8">
        <w:rPr>
          <w:rFonts w:ascii="Arial" w:hAnsi="Arial" w:cs="Arial"/>
          <w:iCs/>
          <w:sz w:val="20"/>
          <w:szCs w:val="20"/>
        </w:rPr>
        <w:t xml:space="preserve">– </w:t>
      </w:r>
      <w:r w:rsidR="00CA21D9" w:rsidRPr="000C75E8">
        <w:rPr>
          <w:rFonts w:ascii="Arial" w:hAnsi="Arial" w:cs="Arial"/>
          <w:iCs/>
          <w:sz w:val="20"/>
          <w:szCs w:val="20"/>
        </w:rPr>
        <w:t>Услуги оказываются Исполнителем удаленно</w:t>
      </w:r>
      <w:r w:rsidRPr="000C75E8">
        <w:rPr>
          <w:rFonts w:ascii="Arial" w:hAnsi="Arial" w:cs="Arial"/>
          <w:iCs/>
          <w:sz w:val="20"/>
          <w:szCs w:val="20"/>
        </w:rPr>
        <w:t>.</w:t>
      </w:r>
    </w:p>
    <w:p w14:paraId="04030E55" w14:textId="77777777" w:rsidR="00654BF5" w:rsidRPr="000C75E8" w:rsidRDefault="00654BF5" w:rsidP="00654BF5">
      <w:pPr>
        <w:pStyle w:val="a3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E7B37D4" w14:textId="763964D4" w:rsidR="00CB100A" w:rsidRPr="000C75E8" w:rsidRDefault="00E64AF8" w:rsidP="000C75E8">
      <w:pPr>
        <w:pStyle w:val="a3"/>
        <w:numPr>
          <w:ilvl w:val="0"/>
          <w:numId w:val="27"/>
        </w:num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>Порядок оплаты</w:t>
      </w:r>
      <w:r w:rsidR="00526B8B"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14:paraId="013454E0" w14:textId="024EAC2E" w:rsidR="00EF11F8" w:rsidRDefault="00CF1810" w:rsidP="00654BF5">
      <w:pPr>
        <w:spacing w:after="0"/>
        <w:ind w:left="708"/>
        <w:rPr>
          <w:rFonts w:ascii="Arial" w:hAnsi="Arial" w:cs="Arial"/>
          <w:sz w:val="20"/>
          <w:szCs w:val="20"/>
        </w:rPr>
      </w:pPr>
      <w:r w:rsidRPr="00795D53">
        <w:rPr>
          <w:rFonts w:ascii="Arial" w:hAnsi="Arial" w:cs="Arial"/>
          <w:sz w:val="20"/>
          <w:szCs w:val="20"/>
        </w:rPr>
        <w:t xml:space="preserve">Оплата Технической поддержки </w:t>
      </w:r>
      <w:r w:rsidR="002973D7" w:rsidRPr="00795D53">
        <w:rPr>
          <w:rFonts w:ascii="Arial" w:hAnsi="Arial" w:cs="Arial"/>
          <w:sz w:val="20"/>
          <w:szCs w:val="20"/>
        </w:rPr>
        <w:t xml:space="preserve">- </w:t>
      </w:r>
      <w:r w:rsidR="009031C6" w:rsidRPr="00795D53">
        <w:rPr>
          <w:rFonts w:ascii="Arial" w:hAnsi="Arial" w:cs="Arial"/>
          <w:sz w:val="20"/>
          <w:szCs w:val="20"/>
        </w:rPr>
        <w:t xml:space="preserve">предпочтительнее ежеквартально в течение 10 </w:t>
      </w:r>
      <w:proofErr w:type="spellStart"/>
      <w:r w:rsidR="009031C6" w:rsidRPr="00795D53">
        <w:rPr>
          <w:rFonts w:ascii="Arial" w:hAnsi="Arial" w:cs="Arial"/>
          <w:sz w:val="20"/>
          <w:szCs w:val="20"/>
        </w:rPr>
        <w:t>рд</w:t>
      </w:r>
      <w:proofErr w:type="spellEnd"/>
      <w:r w:rsidR="009031C6" w:rsidRPr="00795D53">
        <w:rPr>
          <w:rFonts w:ascii="Arial" w:hAnsi="Arial" w:cs="Arial"/>
          <w:sz w:val="20"/>
          <w:szCs w:val="20"/>
        </w:rPr>
        <w:t>.</w:t>
      </w:r>
      <w:r w:rsidR="009031C6">
        <w:rPr>
          <w:rFonts w:ascii="Arial" w:hAnsi="Arial" w:cs="Arial"/>
          <w:sz w:val="20"/>
          <w:szCs w:val="20"/>
        </w:rPr>
        <w:t xml:space="preserve"> Участник может предложить свой вариант оплаты в КП.</w:t>
      </w:r>
    </w:p>
    <w:p w14:paraId="557D8D23" w14:textId="3167F453" w:rsidR="00526B8B" w:rsidRDefault="00EF11F8" w:rsidP="00654BF5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Оплата ПО – предпочтительнее 100% постоплата в течение 15 </w:t>
      </w:r>
      <w:proofErr w:type="spellStart"/>
      <w:r>
        <w:rPr>
          <w:rFonts w:ascii="Arial" w:hAnsi="Arial" w:cs="Arial"/>
          <w:sz w:val="20"/>
          <w:szCs w:val="20"/>
        </w:rPr>
        <w:t>рд</w:t>
      </w:r>
      <w:proofErr w:type="spellEnd"/>
      <w:r w:rsidR="009031C6">
        <w:rPr>
          <w:rFonts w:ascii="Arial" w:hAnsi="Arial" w:cs="Arial"/>
          <w:sz w:val="20"/>
          <w:szCs w:val="20"/>
        </w:rPr>
        <w:t>, Участник может предложить свой вариант оплаты в КП</w:t>
      </w:r>
      <w:r>
        <w:rPr>
          <w:rFonts w:ascii="Arial" w:hAnsi="Arial" w:cs="Arial"/>
          <w:sz w:val="20"/>
          <w:szCs w:val="20"/>
        </w:rPr>
        <w:t>.</w:t>
      </w:r>
    </w:p>
    <w:p w14:paraId="25DCE484" w14:textId="77777777" w:rsidR="00654BF5" w:rsidRPr="00CF1810" w:rsidRDefault="00654BF5" w:rsidP="00654BF5">
      <w:pPr>
        <w:spacing w:after="0"/>
        <w:ind w:left="708"/>
        <w:rPr>
          <w:rFonts w:ascii="Arial" w:hAnsi="Arial" w:cs="Arial"/>
          <w:sz w:val="20"/>
          <w:szCs w:val="20"/>
        </w:rPr>
      </w:pPr>
    </w:p>
    <w:p w14:paraId="6E8D2F7B" w14:textId="49BA11F5" w:rsidR="00055D45" w:rsidRPr="009031C6" w:rsidRDefault="00CE0D87" w:rsidP="000C75E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9031C6">
        <w:rPr>
          <w:rFonts w:ascii="Arial" w:hAnsi="Arial" w:cs="Arial"/>
          <w:b/>
          <w:iCs/>
          <w:sz w:val="20"/>
          <w:szCs w:val="20"/>
        </w:rPr>
        <w:t>ПО</w:t>
      </w:r>
      <w:r w:rsidR="009031C6" w:rsidRPr="009031C6">
        <w:rPr>
          <w:rFonts w:ascii="Arial" w:hAnsi="Arial" w:cs="Arial"/>
          <w:b/>
          <w:iCs/>
          <w:sz w:val="20"/>
          <w:szCs w:val="20"/>
        </w:rPr>
        <w:t>, состав, количество и срок:</w:t>
      </w:r>
      <w:bookmarkStart w:id="0" w:name="_GoBack"/>
      <w:bookmarkEnd w:id="0"/>
    </w:p>
    <w:p w14:paraId="600402AB" w14:textId="77777777" w:rsidR="00737F02" w:rsidRDefault="00737F02" w:rsidP="00737F02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151"/>
        <w:gridCol w:w="1541"/>
        <w:gridCol w:w="1724"/>
      </w:tblGrid>
      <w:tr w:rsidR="00737F02" w:rsidRPr="007B02CC" w14:paraId="590799F5" w14:textId="77777777" w:rsidTr="00737F02">
        <w:trPr>
          <w:trHeight w:val="290"/>
        </w:trPr>
        <w:tc>
          <w:tcPr>
            <w:tcW w:w="44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E13E" w14:textId="11178618" w:rsidR="00737F02" w:rsidRPr="00C009F2" w:rsidRDefault="00737F02" w:rsidP="007B0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B02C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="00C009F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</w:t>
            </w:r>
            <w:r w:rsidR="00C009F2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/</w:t>
            </w:r>
            <w:r w:rsidR="00C009F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2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DD2B" w14:textId="77777777" w:rsidR="00737F02" w:rsidRPr="007B02CC" w:rsidRDefault="00737F02" w:rsidP="007B02CC">
            <w:pPr>
              <w:tabs>
                <w:tab w:val="left" w:pos="69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B02C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Вид лицензии</w:t>
            </w:r>
          </w:p>
        </w:tc>
        <w:tc>
          <w:tcPr>
            <w:tcW w:w="1546" w:type="dxa"/>
            <w:shd w:val="clear" w:color="auto" w:fill="A6A6A6"/>
            <w:vAlign w:val="center"/>
          </w:tcPr>
          <w:p w14:paraId="7550FE03" w14:textId="77777777" w:rsidR="00737F02" w:rsidRPr="007B02CC" w:rsidRDefault="00737F02" w:rsidP="007B0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B02C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27" w:type="dxa"/>
            <w:shd w:val="clear" w:color="auto" w:fill="A6A6A6"/>
          </w:tcPr>
          <w:p w14:paraId="3F2DBF10" w14:textId="77777777" w:rsidR="00737F02" w:rsidRPr="007B02CC" w:rsidRDefault="00737F02" w:rsidP="007B0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B02C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Срок использования</w:t>
            </w:r>
          </w:p>
        </w:tc>
      </w:tr>
      <w:tr w:rsidR="00737F02" w:rsidRPr="007B02CC" w14:paraId="61186882" w14:textId="77777777" w:rsidTr="00717779">
        <w:trPr>
          <w:trHeight w:val="557"/>
        </w:trPr>
        <w:tc>
          <w:tcPr>
            <w:tcW w:w="4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4158" w14:textId="77777777" w:rsidR="00737F02" w:rsidRPr="007B02CC" w:rsidRDefault="00737F02" w:rsidP="007B0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77E1" w14:textId="74DCB5F2" w:rsidR="00737F02" w:rsidRPr="00737F02" w:rsidRDefault="00737F02" w:rsidP="00737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Application</w:t>
            </w:r>
            <w:proofErr w:type="spellEnd"/>
            <w:r w:rsidRPr="00737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Manager</w:t>
            </w:r>
            <w:proofErr w:type="spellEnd"/>
          </w:p>
          <w:p w14:paraId="059991AF" w14:textId="5B3C991F" w:rsidR="00737F02" w:rsidRPr="007B02CC" w:rsidRDefault="00717779" w:rsidP="00737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7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Серверн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  <w:r w:rsidRPr="007177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лицензи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546" w:type="dxa"/>
            <w:vAlign w:val="center"/>
          </w:tcPr>
          <w:p w14:paraId="317FB33C" w14:textId="4873511F" w:rsidR="00737F02" w:rsidRPr="007B02CC" w:rsidRDefault="00737F02" w:rsidP="007B0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7" w:type="dxa"/>
            <w:vAlign w:val="center"/>
          </w:tcPr>
          <w:p w14:paraId="0B0BDC8B" w14:textId="77777777" w:rsidR="00737F02" w:rsidRPr="007B02CC" w:rsidRDefault="00737F02" w:rsidP="007B0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бессрочный</w:t>
            </w:r>
          </w:p>
        </w:tc>
      </w:tr>
    </w:tbl>
    <w:p w14:paraId="583F388B" w14:textId="3AD32D19" w:rsidR="00EF11F8" w:rsidRDefault="00EF11F8" w:rsidP="00717779">
      <w:pPr>
        <w:pStyle w:val="a3"/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BFC4E9" w14:textId="11E18A85" w:rsidR="00EF11F8" w:rsidRPr="00717779" w:rsidRDefault="00EF11F8" w:rsidP="00795D53">
      <w:pPr>
        <w:pStyle w:val="a3"/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Условия поставки – в течение 10 рабочих дней с даты подписания договора.</w:t>
      </w:r>
    </w:p>
    <w:p w14:paraId="12F6F84B" w14:textId="77777777" w:rsidR="00055D45" w:rsidRDefault="00055D45" w:rsidP="00055D4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D615C5D" w14:textId="0B221519" w:rsidR="005B09A8" w:rsidRPr="000C75E8" w:rsidRDefault="00055D45" w:rsidP="000C75E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Состав и </w:t>
      </w:r>
      <w:r w:rsidR="005B09A8"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>содержание услуг</w:t>
      </w:r>
      <w:r w:rsidR="00526B8B"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5B09A8"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2FD2D261" w14:textId="0B94E024" w:rsidR="00CA21D9" w:rsidRPr="004C270D" w:rsidRDefault="00CA21D9" w:rsidP="00654BF5">
      <w:pPr>
        <w:pStyle w:val="a3"/>
        <w:shd w:val="clear" w:color="auto" w:fill="FFFFFF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C270D">
        <w:rPr>
          <w:rFonts w:ascii="Arial" w:hAnsi="Arial" w:cs="Arial"/>
          <w:sz w:val="20"/>
          <w:szCs w:val="20"/>
        </w:rPr>
        <w:t>Исполнитель обязуется передавать Вендору запросы по выявленным сбоям и дефектам ПО, также запросы по созданию и доработке функционала и компонентов ПО, не связанных с архитектурой моделей.</w:t>
      </w:r>
    </w:p>
    <w:p w14:paraId="62DF039C" w14:textId="77777777" w:rsidR="00AF3ABA" w:rsidRDefault="00AF3ABA" w:rsidP="00054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F44FB2" w14:textId="5B2CDB1E" w:rsidR="00CE35E7" w:rsidRDefault="0005458F" w:rsidP="00AF3AB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5458F">
        <w:rPr>
          <w:rFonts w:ascii="Arial" w:eastAsia="Times New Roman" w:hAnsi="Arial" w:cs="Arial"/>
          <w:sz w:val="20"/>
          <w:szCs w:val="20"/>
          <w:lang w:eastAsia="ru-RU"/>
        </w:rPr>
        <w:t>Наименование сервисов ПО, в отношении которых Вендор производит техническую</w:t>
      </w:r>
      <w:r w:rsidR="007B6F6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5458F">
        <w:rPr>
          <w:rFonts w:ascii="Arial" w:eastAsia="Times New Roman" w:hAnsi="Arial" w:cs="Arial"/>
          <w:sz w:val="20"/>
          <w:szCs w:val="20"/>
          <w:lang w:eastAsia="ru-RU"/>
        </w:rPr>
        <w:t>поддержку.</w:t>
      </w:r>
    </w:p>
    <w:tbl>
      <w:tblPr>
        <w:tblStyle w:val="ab"/>
        <w:tblW w:w="8930" w:type="dxa"/>
        <w:tblInd w:w="704" w:type="dxa"/>
        <w:tblLook w:val="04A0" w:firstRow="1" w:lastRow="0" w:firstColumn="1" w:lastColumn="0" w:noHBand="0" w:noVBand="1"/>
      </w:tblPr>
      <w:tblGrid>
        <w:gridCol w:w="514"/>
        <w:gridCol w:w="8416"/>
      </w:tblGrid>
      <w:tr w:rsidR="007B6F64" w:rsidRPr="003B23AB" w14:paraId="1F41203A" w14:textId="77777777" w:rsidTr="00717779">
        <w:tc>
          <w:tcPr>
            <w:tcW w:w="425" w:type="dxa"/>
          </w:tcPr>
          <w:p w14:paraId="7C94E43F" w14:textId="4E7FFAF1" w:rsidR="007B6F64" w:rsidRPr="007B6F64" w:rsidRDefault="007B6F64" w:rsidP="00C009F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B6F6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B6F6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05" w:type="dxa"/>
          </w:tcPr>
          <w:p w14:paraId="77053EA4" w14:textId="371DF21D" w:rsidR="007B6F64" w:rsidRPr="00027E69" w:rsidRDefault="007B6F64" w:rsidP="007B6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7B6F6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Сервисы</w:t>
            </w:r>
            <w:r w:rsidRPr="00027E6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/</w:t>
            </w:r>
            <w:r w:rsidRPr="007B6F6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модули</w:t>
            </w:r>
            <w:r w:rsidRPr="00027E6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 </w:t>
            </w:r>
            <w:r w:rsidRPr="007B6F6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</w:t>
            </w:r>
            <w:r w:rsidRPr="00027E6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 </w:t>
            </w:r>
            <w:r w:rsidR="00027E69" w:rsidRPr="00027E6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Application Manager</w:t>
            </w:r>
          </w:p>
        </w:tc>
      </w:tr>
      <w:tr w:rsidR="007B6F64" w14:paraId="785857D5" w14:textId="77777777" w:rsidTr="00C009F2">
        <w:trPr>
          <w:trHeight w:val="309"/>
        </w:trPr>
        <w:tc>
          <w:tcPr>
            <w:tcW w:w="425" w:type="dxa"/>
          </w:tcPr>
          <w:p w14:paraId="207E1449" w14:textId="1814CB94" w:rsidR="007B6F64" w:rsidRDefault="007B6F64" w:rsidP="00C009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5" w:type="dxa"/>
          </w:tcPr>
          <w:p w14:paraId="1FDCE560" w14:textId="3F1F6F42" w:rsidR="007B6F64" w:rsidRDefault="000C75E8" w:rsidP="000545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7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Application</w:t>
            </w:r>
            <w:proofErr w:type="spellEnd"/>
            <w:r w:rsidRPr="000C7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Manager</w:t>
            </w:r>
            <w:proofErr w:type="spellEnd"/>
          </w:p>
        </w:tc>
      </w:tr>
    </w:tbl>
    <w:p w14:paraId="740ADD68" w14:textId="77777777" w:rsidR="00E84DF0" w:rsidRDefault="00E84DF0" w:rsidP="0005458F">
      <w:pPr>
        <w:shd w:val="clear" w:color="auto" w:fill="FFFFFF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53FAC4FD" w14:textId="77777777" w:rsidR="00687955" w:rsidRDefault="00E84DF0" w:rsidP="004F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-Bold" w:hAnsi="Calibri-Bold" w:cs="Calibri-Bold"/>
          <w:b/>
          <w:bCs/>
        </w:rPr>
        <w:t>Спецификация технической поддержки.</w:t>
      </w:r>
    </w:p>
    <w:p w14:paraId="3733BB47" w14:textId="349F02C4" w:rsidR="004F6583" w:rsidRPr="00687955" w:rsidRDefault="00CA21D9" w:rsidP="00687955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7955">
        <w:rPr>
          <w:rFonts w:ascii="Arial" w:eastAsia="Times New Roman" w:hAnsi="Arial" w:cs="Arial"/>
          <w:sz w:val="20"/>
          <w:szCs w:val="20"/>
          <w:lang w:eastAsia="ru-RU"/>
        </w:rPr>
        <w:t xml:space="preserve">Заказчик </w:t>
      </w:r>
      <w:r w:rsidR="004F6583" w:rsidRPr="00687955">
        <w:rPr>
          <w:rFonts w:ascii="Arial" w:eastAsia="Times New Roman" w:hAnsi="Arial" w:cs="Arial"/>
          <w:sz w:val="20"/>
          <w:szCs w:val="20"/>
          <w:lang w:eastAsia="ru-RU"/>
        </w:rPr>
        <w:t>за свой счет и самостоятельно либо с привлечением подрядчика организовывает</w:t>
      </w:r>
      <w:r w:rsidRPr="0068795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6A4606B" w14:textId="77777777" w:rsidR="004F6583" w:rsidRPr="004F6583" w:rsidRDefault="004F6583" w:rsidP="004F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техническую поддержку первой, второй и третьей линии.</w:t>
      </w:r>
    </w:p>
    <w:p w14:paraId="7B13C99A" w14:textId="27870C20" w:rsidR="004F6583" w:rsidRPr="004F6583" w:rsidRDefault="004F6583" w:rsidP="004F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 Вендор оказывает услуги технической поддержки четвертой линии.</w:t>
      </w:r>
    </w:p>
    <w:p w14:paraId="6122CB8D" w14:textId="7186DAA8" w:rsidR="004F6583" w:rsidRPr="004744D7" w:rsidRDefault="004F6583" w:rsidP="004744D7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7955">
        <w:rPr>
          <w:rFonts w:ascii="Arial" w:eastAsia="Times New Roman" w:hAnsi="Arial" w:cs="Arial"/>
          <w:sz w:val="20"/>
          <w:szCs w:val="20"/>
          <w:lang w:eastAsia="ru-RU"/>
        </w:rPr>
        <w:t>Четвертая линия поддержки обрабатывает запросы по выявленным сбоям и дефектам ПО,</w:t>
      </w:r>
      <w:r w:rsidR="00D5306D" w:rsidRPr="0068795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4D7">
        <w:rPr>
          <w:rFonts w:ascii="Arial" w:eastAsia="Times New Roman" w:hAnsi="Arial" w:cs="Arial"/>
          <w:sz w:val="20"/>
          <w:szCs w:val="20"/>
          <w:lang w:eastAsia="ru-RU"/>
        </w:rPr>
        <w:t>которые невозможно устранить первой, второй и третьей линии поддержки, а также запросы по</w:t>
      </w:r>
      <w:r w:rsidR="00D5306D" w:rsidRPr="004744D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4D7">
        <w:rPr>
          <w:rFonts w:ascii="Arial" w:eastAsia="Times New Roman" w:hAnsi="Arial" w:cs="Arial"/>
          <w:sz w:val="20"/>
          <w:szCs w:val="20"/>
          <w:lang w:eastAsia="ru-RU"/>
        </w:rPr>
        <w:t>созданию и доработке функционала и компонентов ПО, не связанных с архитектурой моделей.</w:t>
      </w:r>
    </w:p>
    <w:p w14:paraId="0EE7B904" w14:textId="1C8BD467" w:rsidR="004F6583" w:rsidRPr="00156594" w:rsidRDefault="004F6583" w:rsidP="00156594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6594">
        <w:rPr>
          <w:rFonts w:ascii="Arial" w:eastAsia="Times New Roman" w:hAnsi="Arial" w:cs="Arial"/>
          <w:sz w:val="20"/>
          <w:szCs w:val="20"/>
          <w:lang w:eastAsia="ru-RU"/>
        </w:rPr>
        <w:t>Предметом технической поддержки четвертой линии являются:</w:t>
      </w:r>
    </w:p>
    <w:p w14:paraId="0CEA5B3F" w14:textId="1FC73C1F" w:rsidR="00156594" w:rsidRPr="004744D7" w:rsidRDefault="004F6583" w:rsidP="00156594">
      <w:pPr>
        <w:pStyle w:val="a3"/>
        <w:numPr>
          <w:ilvl w:val="2"/>
          <w:numId w:val="25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156594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Предоставление доступа к дистрибутивам новых версий ПО </w:t>
      </w:r>
      <w:proofErr w:type="spellStart"/>
      <w:r w:rsidRPr="00156594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spellEnd"/>
      <w:r w:rsidRPr="00156594">
        <w:rPr>
          <w:rFonts w:ascii="Arial" w:eastAsia="Times New Roman" w:hAnsi="Arial" w:cs="Arial"/>
          <w:sz w:val="20"/>
          <w:szCs w:val="20"/>
          <w:lang w:eastAsia="ru-RU"/>
        </w:rPr>
        <w:t xml:space="preserve"> запросу </w:t>
      </w:r>
      <w:r w:rsidR="00CA21D9" w:rsidRPr="0015659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1565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5306D" w:rsidRPr="001565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4D7">
        <w:rPr>
          <w:rFonts w:ascii="Arial" w:eastAsia="Times New Roman" w:hAnsi="Arial" w:cs="Arial"/>
          <w:sz w:val="20"/>
          <w:szCs w:val="20"/>
          <w:lang w:eastAsia="ru-RU"/>
        </w:rPr>
        <w:t>размещенному на портале технической поддержки. Уведомления о выходе новых версий ПО</w:t>
      </w:r>
      <w:r w:rsidR="00D5306D" w:rsidRPr="004744D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4D7">
        <w:rPr>
          <w:rFonts w:ascii="Arial" w:eastAsia="Times New Roman" w:hAnsi="Arial" w:cs="Arial"/>
          <w:sz w:val="20"/>
          <w:szCs w:val="20"/>
          <w:lang w:eastAsia="ru-RU"/>
        </w:rPr>
        <w:t>размещается на ресурсах правообладателя.</w:t>
      </w:r>
    </w:p>
    <w:p w14:paraId="67CF4D20" w14:textId="14D3A02D" w:rsidR="004F6583" w:rsidRPr="00156594" w:rsidRDefault="004F6583" w:rsidP="00FD05A2">
      <w:pPr>
        <w:pStyle w:val="a3"/>
        <w:numPr>
          <w:ilvl w:val="2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6594">
        <w:rPr>
          <w:rFonts w:ascii="Arial" w:eastAsia="Times New Roman" w:hAnsi="Arial" w:cs="Arial"/>
          <w:sz w:val="20"/>
          <w:szCs w:val="20"/>
          <w:lang w:eastAsia="ru-RU"/>
        </w:rPr>
        <w:t>Обработка обращений от пользователей по вопросам сбоев и дефектов в функционировании</w:t>
      </w:r>
      <w:r w:rsidR="00156594" w:rsidRPr="001565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6594">
        <w:rPr>
          <w:rFonts w:ascii="Arial" w:eastAsia="Times New Roman" w:hAnsi="Arial" w:cs="Arial"/>
          <w:sz w:val="20"/>
          <w:szCs w:val="20"/>
          <w:lang w:eastAsia="ru-RU"/>
        </w:rPr>
        <w:t>ПО;</w:t>
      </w:r>
      <w:r w:rsidR="001565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281EBCC" w14:textId="5234B8D9" w:rsidR="004F6583" w:rsidRPr="004F6583" w:rsidRDefault="004F6583" w:rsidP="004C1FFF">
      <w:pPr>
        <w:pStyle w:val="a3"/>
        <w:numPr>
          <w:ilvl w:val="2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Установка обновлений и переустановка ПО </w:t>
      </w:r>
      <w:proofErr w:type="spellStart"/>
      <w:r w:rsidRPr="004F6583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spellEnd"/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 запросам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="00A54474"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при наличии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удаленного доступа к ресурсам Системы;</w:t>
      </w:r>
    </w:p>
    <w:p w14:paraId="1D3FB752" w14:textId="30AC5590" w:rsidR="004F6583" w:rsidRPr="004F6583" w:rsidRDefault="004F6583" w:rsidP="004C1FFF">
      <w:pPr>
        <w:pStyle w:val="a3"/>
        <w:numPr>
          <w:ilvl w:val="2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Доступ на портал технической поддержки и право размещения запросов.</w:t>
      </w:r>
    </w:p>
    <w:p w14:paraId="3640B897" w14:textId="45333A42" w:rsidR="004F6583" w:rsidRPr="004C1FFF" w:rsidRDefault="004F6583" w:rsidP="003E5D75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Предметом технической поддержки четвертой линии не являются обращения, связанные с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архитектурой кубов и </w:t>
      </w:r>
      <w:proofErr w:type="spellStart"/>
      <w:r w:rsidRPr="004F6583">
        <w:rPr>
          <w:rFonts w:ascii="Arial" w:eastAsia="Times New Roman" w:hAnsi="Arial" w:cs="Arial"/>
          <w:sz w:val="20"/>
          <w:szCs w:val="20"/>
          <w:lang w:eastAsia="ru-RU"/>
        </w:rPr>
        <w:t>мультикубов</w:t>
      </w:r>
      <w:proofErr w:type="spellEnd"/>
      <w:r w:rsidRPr="004F6583">
        <w:rPr>
          <w:rFonts w:ascii="Arial" w:eastAsia="Times New Roman" w:hAnsi="Arial" w:cs="Arial"/>
          <w:sz w:val="20"/>
          <w:szCs w:val="20"/>
          <w:lang w:eastAsia="ru-RU"/>
        </w:rPr>
        <w:t>, формульных связей, форм ввода и отчетов, визуальной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составляющей, изменением мастер</w:t>
      </w: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и данных кубов, миграции данных между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моделями,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разработка ETL инструментов, интеграционных и прочих скриптов, поддержка работоспособности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серверов и прочей инфраструктуры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, а также инциденты, связанные со снижением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FFF">
        <w:rPr>
          <w:rFonts w:ascii="Arial" w:eastAsia="Times New Roman" w:hAnsi="Arial" w:cs="Arial"/>
          <w:sz w:val="20"/>
          <w:szCs w:val="20"/>
          <w:lang w:eastAsia="ru-RU"/>
        </w:rPr>
        <w:t>быстродействия, кроме дефектов ПО. Данные обращения разрешаются на уровне первой, второй и</w:t>
      </w:r>
      <w:r w:rsidR="004C1FFF" w:rsidRPr="004C1FF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FFF">
        <w:rPr>
          <w:rFonts w:ascii="Arial" w:eastAsia="Times New Roman" w:hAnsi="Arial" w:cs="Arial"/>
          <w:sz w:val="20"/>
          <w:szCs w:val="20"/>
          <w:lang w:eastAsia="ru-RU"/>
        </w:rPr>
        <w:t>третьей линий поддержки.</w:t>
      </w:r>
    </w:p>
    <w:p w14:paraId="62F7C909" w14:textId="594ED00A" w:rsidR="004F6583" w:rsidRPr="004F6583" w:rsidRDefault="004F6583" w:rsidP="004C1FFF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В состав технической поддержки также не входят консультационные услуги, связанные с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пользовательской логикой, данными внешних источников.</w:t>
      </w:r>
    </w:p>
    <w:p w14:paraId="5FA2887F" w14:textId="6ABD4588" w:rsidR="004F6583" w:rsidRPr="004F6583" w:rsidRDefault="004F6583" w:rsidP="004C1FFF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Техническая поддержка не оказывается в отношении инцидентов, возникших в связи с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инфраструктурой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, аппаратными и сетевыми компонентами (в т.ч. серверами, сетевым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окружением), а также программным обеспечением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, кроме ПО </w:t>
      </w:r>
      <w:proofErr w:type="spellStart"/>
      <w:r w:rsidR="00027E69" w:rsidRPr="000C75E8">
        <w:rPr>
          <w:rFonts w:ascii="Arial" w:eastAsia="Times New Roman" w:hAnsi="Arial" w:cs="Arial"/>
          <w:sz w:val="20"/>
          <w:szCs w:val="20"/>
          <w:lang w:eastAsia="ru-RU"/>
        </w:rPr>
        <w:t>Application</w:t>
      </w:r>
      <w:proofErr w:type="spellEnd"/>
      <w:r w:rsidR="00027E69" w:rsidRPr="000C75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="00027E69" w:rsidRPr="000C75E8">
        <w:rPr>
          <w:rFonts w:ascii="Arial" w:eastAsia="Times New Roman" w:hAnsi="Arial" w:cs="Arial"/>
          <w:sz w:val="20"/>
          <w:szCs w:val="20"/>
          <w:lang w:eastAsia="ru-RU"/>
        </w:rPr>
        <w:t>Manager</w:t>
      </w:r>
      <w:proofErr w:type="spellEnd"/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</w:p>
    <w:p w14:paraId="6C03ED31" w14:textId="544C4B27" w:rsidR="004F6583" w:rsidRPr="004F6583" w:rsidRDefault="004F6583" w:rsidP="004C1FFF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Администрирование пользователей Системы (добавление новых, изменения прав,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взаимодействие по вопросам функционирования ПО</w:t>
      </w:r>
      <w:r w:rsidR="000341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4561C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), администрирование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продуктивного и тестового КТС (комплекс технических средств, в т.ч. серверов) выполняется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работниками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1B327D3" w14:textId="048EE6AB" w:rsidR="0005458F" w:rsidRDefault="004F6583" w:rsidP="004C1FFF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В рамки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услуг ТП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 не входит улучшение качества данных внешних систем</w:t>
      </w: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источников.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Вопросы, связанные с качеством или предоставлением данных из систем</w:t>
      </w: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источников,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ешаются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силами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D4A1900" w14:textId="77777777" w:rsidR="004F6583" w:rsidRPr="0005458F" w:rsidRDefault="004F6583" w:rsidP="004F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33436F" w14:textId="7C04E711" w:rsidR="009F7597" w:rsidRPr="000C75E8" w:rsidRDefault="009F7597" w:rsidP="000C75E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 </w:t>
      </w:r>
      <w:r w:rsidR="0005458F"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>оказания ТП</w:t>
      </w:r>
      <w:r w:rsidR="00D64261"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14:paraId="534A7719" w14:textId="4B397329" w:rsidR="000C75E8" w:rsidRDefault="000C75E8" w:rsidP="00654BF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2 </w:t>
      </w:r>
      <w:r>
        <w:rPr>
          <w:rFonts w:ascii="Arial" w:eastAsia="Times New Roman" w:hAnsi="Arial" w:cs="Arial"/>
          <w:sz w:val="20"/>
          <w:szCs w:val="20"/>
          <w:lang w:eastAsia="ru-RU"/>
        </w:rPr>
        <w:t>года</w:t>
      </w:r>
    </w:p>
    <w:p w14:paraId="07AEF1D2" w14:textId="77777777" w:rsidR="000C75E8" w:rsidRPr="000C75E8" w:rsidRDefault="000C75E8" w:rsidP="00054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5B2A350" w14:textId="58C29AE3" w:rsidR="00AE4B8C" w:rsidRPr="000C75E8" w:rsidRDefault="00AE4B8C" w:rsidP="000C75E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C75E8">
        <w:rPr>
          <w:rFonts w:ascii="Arial" w:eastAsia="Times New Roman" w:hAnsi="Arial" w:cs="Arial"/>
          <w:b/>
          <w:sz w:val="20"/>
          <w:szCs w:val="20"/>
          <w:lang w:eastAsia="ru-RU"/>
        </w:rPr>
        <w:t>SLA</w:t>
      </w:r>
    </w:p>
    <w:p w14:paraId="3632E3BC" w14:textId="6513DA82" w:rsidR="00A54474" w:rsidRPr="004C270D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Целевые сроки реагирования на запрос и сроки устранения недостатков, указанных в Запросах,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представлены ниже. Приоритеты имеют 4 категории:</w:t>
      </w:r>
    </w:p>
    <w:p w14:paraId="60BEE003" w14:textId="3CBCDBB2" w:rsidR="00A54474" w:rsidRPr="004C270D" w:rsidRDefault="00A54474" w:rsidP="004C2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1. События, которые не позволяют выполнять бизнес</w:t>
      </w:r>
      <w:r w:rsidR="0003410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процессы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и продолжать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эксплуатацию сервисов ПО. Обходные решения отсутствуют. Время реакции – 2 часа, срок устранения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– 1 день;</w:t>
      </w:r>
    </w:p>
    <w:p w14:paraId="413C4EAF" w14:textId="33DB0319" w:rsidR="00A54474" w:rsidRPr="00AE4B8C" w:rsidRDefault="00A54474" w:rsidP="004C2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2. События, которые не имеют прямого влияния на выполнение бизнес</w:t>
      </w:r>
      <w:r w:rsidR="0003410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процессов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5306D">
        <w:rPr>
          <w:rFonts w:ascii="Arial" w:eastAsia="Times New Roman" w:hAnsi="Arial" w:cs="Arial"/>
          <w:sz w:val="20"/>
          <w:szCs w:val="20"/>
          <w:lang w:eastAsia="ru-RU"/>
        </w:rPr>
        <w:t>и продолжение эксплуатации сервисов ПО, однако частично ограничивает или затрудняет</w:t>
      </w:r>
      <w:r w:rsidR="00AE4B8C" w:rsidRPr="00276CF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6CF3">
        <w:rPr>
          <w:rFonts w:ascii="Arial" w:eastAsia="Times New Roman" w:hAnsi="Arial" w:cs="Arial"/>
          <w:sz w:val="20"/>
          <w:szCs w:val="20"/>
          <w:lang w:eastAsia="ru-RU"/>
        </w:rPr>
        <w:t>использование сервисов ПО. Обходные решения отсутствуют. Время реакции – 2 часа, срок устранения</w:t>
      </w:r>
      <w:r w:rsidR="00AE4B8C" w:rsidRP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E4B8C">
        <w:rPr>
          <w:rFonts w:ascii="Arial" w:eastAsia="Times New Roman" w:hAnsi="Arial" w:cs="Arial"/>
          <w:sz w:val="20"/>
          <w:szCs w:val="20"/>
          <w:lang w:eastAsia="ru-RU"/>
        </w:rPr>
        <w:t>– 2 дня;</w:t>
      </w:r>
    </w:p>
    <w:p w14:paraId="5A084D57" w14:textId="3444FE5A" w:rsidR="00A54474" w:rsidRPr="004C270D" w:rsidRDefault="00A54474" w:rsidP="004C2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3. События, которые не имеют влияния на бизнес</w:t>
      </w:r>
      <w:r w:rsidR="0003410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процессы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и использование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сервисов ПО. Время реакции – 8 часов, срок устранения – 3 дня;</w:t>
      </w:r>
    </w:p>
    <w:p w14:paraId="533BAA97" w14:textId="4FCE3489" w:rsidR="00A54474" w:rsidRPr="004C270D" w:rsidRDefault="00A54474" w:rsidP="004C2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4. Решение инфраструктурных проблем и проблем, связанных с действием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персонала 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и/или третьих поставщиков услуг. Время реакции – 12 часов, срок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устранения – не более 30 рабочих дней.</w:t>
      </w:r>
    </w:p>
    <w:p w14:paraId="3B84109C" w14:textId="05B4976B" w:rsidR="00A54474" w:rsidRP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>График оказания услуг по технической поддержке 9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часов, 5 дней в неделю с понедельника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по пятницу включительно, с 09:00 до 17:59, пояс UTC (GMT) + 3.</w:t>
      </w:r>
    </w:p>
    <w:p w14:paraId="5457F1E5" w14:textId="77777777" w:rsidR="00D5306D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8893B7" w14:textId="02821B24" w:rsid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>Длительность действий измеряется в рабочих часах (с учетом графика оказания технической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поддержки) и рабочих днях;</w:t>
      </w:r>
    </w:p>
    <w:p w14:paraId="19BCC29C" w14:textId="77777777" w:rsidR="00D5306D" w:rsidRPr="00A54474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ADFC813" w14:textId="4E79F318" w:rsid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>Время реакции на запрос – время от момента получения, согласованным способом связи,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информации о необходимости зарегистрировать инцидент до начала работ над ним, но в любом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случае в рабочие часы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>, указанные выше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262E4A8" w14:textId="77777777" w:rsidR="00D5306D" w:rsidRPr="00A54474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4FB6B6" w14:textId="5C498205" w:rsid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>В исключительных случаях срок предоставления решения может быть продлен по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договоренности с 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>Заказчиком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, если за указанное время у Вендора нет возможности предоставить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решение. Вендор, в таких случаях, должен предоставить 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>Заказчику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 подробное обоснование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невозможности предоставления решения для Обращения (Заявки) за указанное время и уточненное</w:t>
      </w:r>
      <w:r w:rsidR="00D5306D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время предоставления решения. В таких случаях время просрочки считается от нового согласованного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срока предоставления решения.</w:t>
      </w:r>
    </w:p>
    <w:p w14:paraId="0B0DDA54" w14:textId="77777777" w:rsidR="00D5306D" w:rsidRPr="00A54474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90DBC22" w14:textId="2D7D7A32" w:rsid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Прием Запросов 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 производится в режиме 24х7 (схема 24х7) и выполняется через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портал технической поддержки: support.optimacros.com, если 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тороны явно не согласовали иной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способ приема Запросов на обслуживание.</w:t>
      </w:r>
    </w:p>
    <w:p w14:paraId="41C5940D" w14:textId="77777777" w:rsidR="00D5306D" w:rsidRPr="00A54474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252EF4" w14:textId="1FE0B2A9" w:rsidR="00A54474" w:rsidRP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>При обращении в службу технической поддержки Вендора или иными способами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Заказчик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 должен предоставить следующую информацию:</w:t>
      </w:r>
    </w:p>
    <w:p w14:paraId="752BFB5E" w14:textId="2326FF64" w:rsidR="00A54474" w:rsidRPr="00D5306D" w:rsidRDefault="00A54474" w:rsidP="00654BF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имя, фамилию и контактную информацию лица, непосредственно столкнувшегося с проблемой (если</w:t>
      </w:r>
      <w:r w:rsidR="00D5306D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5306D">
        <w:rPr>
          <w:rFonts w:ascii="Arial" w:eastAsia="Times New Roman" w:hAnsi="Arial" w:cs="Arial"/>
          <w:sz w:val="20"/>
          <w:szCs w:val="20"/>
          <w:lang w:eastAsia="ru-RU"/>
        </w:rPr>
        <w:t>отличается от лица, подавшего заявку);</w:t>
      </w:r>
    </w:p>
    <w:p w14:paraId="3357292E" w14:textId="39CFA410" w:rsidR="00A54474" w:rsidRPr="004C270D" w:rsidRDefault="00A54474" w:rsidP="00654BF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запроса по собственной классификации;</w:t>
      </w:r>
    </w:p>
    <w:p w14:paraId="31D39012" w14:textId="3154EB12" w:rsidR="00A54474" w:rsidRPr="004C270D" w:rsidRDefault="00A54474" w:rsidP="00654BF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подробное описание сути запроса или нештатной ситуации;</w:t>
      </w:r>
    </w:p>
    <w:p w14:paraId="6D31291A" w14:textId="1936A0C9" w:rsidR="00A54474" w:rsidRDefault="00A54474" w:rsidP="00654BF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запись экрана (видео) с ошибкой, или при невозможности скриншот с ошибкой, а также шаги для</w:t>
      </w:r>
      <w:r w:rsidR="00D5306D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5306D">
        <w:rPr>
          <w:rFonts w:ascii="Arial" w:eastAsia="Times New Roman" w:hAnsi="Arial" w:cs="Arial"/>
          <w:sz w:val="20"/>
          <w:szCs w:val="20"/>
          <w:lang w:eastAsia="ru-RU"/>
        </w:rPr>
        <w:t>повторения ошибки/нештатной ситуации.</w:t>
      </w:r>
    </w:p>
    <w:p w14:paraId="5FC30DEB" w14:textId="77777777" w:rsidR="00D5306D" w:rsidRPr="00D5306D" w:rsidRDefault="00D5306D" w:rsidP="00654BF5">
      <w:pPr>
        <w:pStyle w:val="a3"/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1D3D29" w14:textId="44AC7CAE" w:rsid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Первичную установку приоритета осуществляет Заказчик, однако, Вендор может изменить приоритет обращения в соответствии определенным критерием классификации.</w:t>
      </w:r>
    </w:p>
    <w:p w14:paraId="2837F84D" w14:textId="77777777" w:rsidR="00D5306D" w:rsidRPr="00AE4B8C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BC01A3F" w14:textId="12899F2F" w:rsidR="00AE4B8C" w:rsidRP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Заказчик при подаче Запроса обязан придерживаться правила – одному Запросу соответствует одно требование о выполнении работ (оказании услуг), связанных с функционированием и эксплуатацией ПО. В случае возникновения у Заказчика новых требований при решении Запроса открываются новые Запросы.</w:t>
      </w:r>
    </w:p>
    <w:p w14:paraId="53BBC03F" w14:textId="7B6EBAAB" w:rsid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 xml:space="preserve">Если в результате анализа Запроса выявлена необходимость получения дополнительной информации от Заказчика, Вендор фиксирует в зарегистрированной Запросе соответствующий факт и направляет его представителю Заказчика. Работы по анализу Запроса возобновляются только после получения от Заказчика необходимой информации. Достаточность информации по Запросу определяется 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>Заказчиком</w:t>
      </w:r>
      <w:r w:rsidRPr="00AE4B8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589F23B" w14:textId="77777777" w:rsidR="00D5306D" w:rsidRPr="00AE4B8C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CB1729" w14:textId="782BA543" w:rsid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Время работы над Запросом может быть изменено по согласованию с Заказчиком.</w:t>
      </w:r>
    </w:p>
    <w:p w14:paraId="3D6FFF24" w14:textId="77777777" w:rsidR="00D5306D" w:rsidRPr="00AE4B8C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447DC6" w14:textId="77A4D323" w:rsidR="00AE4B8C" w:rsidRP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При расчете фактического срока устранения не считается нарушением, если отклонение от целевого срока произошло вследствие:</w:t>
      </w:r>
    </w:p>
    <w:p w14:paraId="0499F4C4" w14:textId="66F5CC08" w:rsidR="00AE4B8C" w:rsidRPr="004C270D" w:rsidRDefault="00AE4B8C" w:rsidP="00654BF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Инфраструктурного сбоя на стороне Заказчика;</w:t>
      </w:r>
    </w:p>
    <w:p w14:paraId="214FC2E5" w14:textId="13A84EAC" w:rsidR="00AE4B8C" w:rsidRPr="004C270D" w:rsidRDefault="00D5306D" w:rsidP="00654BF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>несения Заказчиком каких-либо несогласованных с Вендором изменений в расписание потоков, в настройки окружения;</w:t>
      </w:r>
    </w:p>
    <w:p w14:paraId="0BF48DCE" w14:textId="6254B202" w:rsidR="00AE4B8C" w:rsidRPr="004C270D" w:rsidRDefault="00D5306D" w:rsidP="00654BF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случае, если вносимые Заказчиком изменения не прошли функциональное (при необходимости - нагрузочное и регрессионное) тестирование;</w:t>
      </w:r>
    </w:p>
    <w:p w14:paraId="3FF0DDAB" w14:textId="3AC5BEC6" w:rsidR="00AE4B8C" w:rsidRPr="004C270D" w:rsidRDefault="00D5306D" w:rsidP="00654BF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>тсутствия у сотрудников Вендора удаленного доступа к Системе (истечение сертификатов VPN) или блокировка учетных записей и пр., необходимых для доступа к Системе/ПО или КТС (комплекс технических средств). При этом, время сотрудника, потраченное на ожидание предоставления удаленного доступа к Системе или разблокировку учетных записей и пр., необходимых для доступа к Системе/ПО или КТС считается потраченным на решение Запроса по технической поддержке.</w:t>
      </w:r>
    </w:p>
    <w:p w14:paraId="1A319E1C" w14:textId="77777777" w:rsidR="00D5306D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882D55" w14:textId="1D6FB392" w:rsidR="0069347E" w:rsidRPr="00AB4BA6" w:rsidRDefault="00AE4B8C" w:rsidP="00941D0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Одновременно в работе может находится не более двух обращений. При превышении данного количества остальные обращения переводятся в ожидание. Очередность обработки обращений определяется в зависимости от приоритета задачи, либо по согласованию с Заказчиком.</w:t>
      </w:r>
    </w:p>
    <w:p w14:paraId="44FDD4F5" w14:textId="7C307BD0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8EFD75" w14:textId="7BB48FB5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BC3A25" w14:textId="77777777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9FD20A" w14:textId="7B919DFF" w:rsidR="0069347E" w:rsidRPr="00234402" w:rsidRDefault="00B33149" w:rsidP="00B33149">
      <w:pPr>
        <w:shd w:val="clear" w:color="auto" w:fill="FFFFFF"/>
        <w:tabs>
          <w:tab w:val="left" w:pos="51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620986FA" w14:textId="77777777" w:rsidR="0069347E" w:rsidRPr="00234402" w:rsidRDefault="0069347E" w:rsidP="00234402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2C1068" w14:textId="77777777" w:rsidR="0071756D" w:rsidRPr="00526B8B" w:rsidRDefault="0071756D" w:rsidP="00717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D7E5067" w14:textId="77777777" w:rsidR="0071756D" w:rsidRPr="00526B8B" w:rsidRDefault="0071756D" w:rsidP="00717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71756D" w:rsidRPr="0052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8801AD"/>
    <w:multiLevelType w:val="hybridMultilevel"/>
    <w:tmpl w:val="F3746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5019E"/>
    <w:multiLevelType w:val="hybridMultilevel"/>
    <w:tmpl w:val="5BA88E8C"/>
    <w:lvl w:ilvl="0" w:tplc="14AA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74A0"/>
    <w:multiLevelType w:val="hybridMultilevel"/>
    <w:tmpl w:val="A32A2B96"/>
    <w:lvl w:ilvl="0" w:tplc="14AA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3312D"/>
    <w:multiLevelType w:val="hybridMultilevel"/>
    <w:tmpl w:val="7DE05F02"/>
    <w:lvl w:ilvl="0" w:tplc="14AA3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E16D5"/>
    <w:multiLevelType w:val="hybridMultilevel"/>
    <w:tmpl w:val="0DD4DF78"/>
    <w:lvl w:ilvl="0" w:tplc="14AA3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56A07"/>
    <w:multiLevelType w:val="multilevel"/>
    <w:tmpl w:val="9E78CA0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3EB4880"/>
    <w:multiLevelType w:val="multilevel"/>
    <w:tmpl w:val="20D04E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675BF8"/>
    <w:multiLevelType w:val="multilevel"/>
    <w:tmpl w:val="0D4A357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Arial" w:hAnsi="Arial" w:cs="Arial" w:hint="default"/>
        <w:i w:val="0"/>
        <w:iCs/>
      </w:rPr>
    </w:lvl>
    <w:lvl w:ilvl="1">
      <w:start w:val="1"/>
      <w:numFmt w:val="decimal"/>
      <w:pStyle w:val="2"/>
      <w:lvlText w:val="%1.%2"/>
      <w:lvlJc w:val="left"/>
      <w:pPr>
        <w:ind w:left="3411" w:hanging="576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EA7111C"/>
    <w:multiLevelType w:val="hybridMultilevel"/>
    <w:tmpl w:val="1CA6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163"/>
    <w:multiLevelType w:val="hybridMultilevel"/>
    <w:tmpl w:val="DCA08EDC"/>
    <w:lvl w:ilvl="0" w:tplc="5FF6F984">
      <w:start w:val="1"/>
      <w:numFmt w:val="decimal"/>
      <w:lvlText w:val="6.3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667CF"/>
    <w:multiLevelType w:val="hybridMultilevel"/>
    <w:tmpl w:val="8A86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1956"/>
    <w:multiLevelType w:val="hybridMultilevel"/>
    <w:tmpl w:val="A32A2B96"/>
    <w:lvl w:ilvl="0" w:tplc="14AA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52D4"/>
    <w:multiLevelType w:val="multilevel"/>
    <w:tmpl w:val="9D8C88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F22AF1"/>
    <w:multiLevelType w:val="hybridMultilevel"/>
    <w:tmpl w:val="2CF06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E6B8D"/>
    <w:multiLevelType w:val="hybridMultilevel"/>
    <w:tmpl w:val="BB22B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E247E9"/>
    <w:multiLevelType w:val="multilevel"/>
    <w:tmpl w:val="ED600D4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7" w15:restartNumberingAfterBreak="0">
    <w:nsid w:val="414709DF"/>
    <w:multiLevelType w:val="hybridMultilevel"/>
    <w:tmpl w:val="3A6C9B2A"/>
    <w:lvl w:ilvl="0" w:tplc="D53A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8916DE"/>
    <w:multiLevelType w:val="hybridMultilevel"/>
    <w:tmpl w:val="8EAE4A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6F7C68"/>
    <w:multiLevelType w:val="multilevel"/>
    <w:tmpl w:val="B0ECE1A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0541CA3"/>
    <w:multiLevelType w:val="hybridMultilevel"/>
    <w:tmpl w:val="A80E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60BF"/>
    <w:multiLevelType w:val="hybridMultilevel"/>
    <w:tmpl w:val="90BCF422"/>
    <w:lvl w:ilvl="0" w:tplc="5FF6F984">
      <w:start w:val="1"/>
      <w:numFmt w:val="decimal"/>
      <w:lvlText w:val="6.3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00D4D"/>
    <w:multiLevelType w:val="hybridMultilevel"/>
    <w:tmpl w:val="9E66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19"/>
  </w:num>
  <w:num w:numId="15">
    <w:abstractNumId w:val="17"/>
  </w:num>
  <w:num w:numId="16">
    <w:abstractNumId w:val="12"/>
  </w:num>
  <w:num w:numId="17">
    <w:abstractNumId w:val="3"/>
  </w:num>
  <w:num w:numId="18">
    <w:abstractNumId w:val="18"/>
  </w:num>
  <w:num w:numId="19">
    <w:abstractNumId w:val="0"/>
  </w:num>
  <w:num w:numId="20">
    <w:abstractNumId w:val="20"/>
  </w:num>
  <w:num w:numId="21">
    <w:abstractNumId w:val="22"/>
  </w:num>
  <w:num w:numId="22">
    <w:abstractNumId w:val="9"/>
  </w:num>
  <w:num w:numId="23">
    <w:abstractNumId w:val="7"/>
  </w:num>
  <w:num w:numId="24">
    <w:abstractNumId w:val="21"/>
  </w:num>
  <w:num w:numId="25">
    <w:abstractNumId w:val="13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9E"/>
    <w:rsid w:val="000110A0"/>
    <w:rsid w:val="00027E69"/>
    <w:rsid w:val="00034107"/>
    <w:rsid w:val="0004561C"/>
    <w:rsid w:val="0005458F"/>
    <w:rsid w:val="0005522A"/>
    <w:rsid w:val="00055D45"/>
    <w:rsid w:val="000B5EA4"/>
    <w:rsid w:val="000C75E8"/>
    <w:rsid w:val="00114CA7"/>
    <w:rsid w:val="001264DC"/>
    <w:rsid w:val="001473FE"/>
    <w:rsid w:val="00156594"/>
    <w:rsid w:val="001905D6"/>
    <w:rsid w:val="001F2FD5"/>
    <w:rsid w:val="00200F38"/>
    <w:rsid w:val="00203514"/>
    <w:rsid w:val="00234402"/>
    <w:rsid w:val="00263C38"/>
    <w:rsid w:val="00276CF3"/>
    <w:rsid w:val="002973D7"/>
    <w:rsid w:val="002B1AE6"/>
    <w:rsid w:val="002D54B8"/>
    <w:rsid w:val="002E1999"/>
    <w:rsid w:val="003562AD"/>
    <w:rsid w:val="00397B49"/>
    <w:rsid w:val="003B23AB"/>
    <w:rsid w:val="003F2BD7"/>
    <w:rsid w:val="00417FE5"/>
    <w:rsid w:val="00433F8A"/>
    <w:rsid w:val="00436916"/>
    <w:rsid w:val="00457587"/>
    <w:rsid w:val="00471851"/>
    <w:rsid w:val="004744D7"/>
    <w:rsid w:val="004A0634"/>
    <w:rsid w:val="004A5490"/>
    <w:rsid w:val="004C1FFF"/>
    <w:rsid w:val="004C270D"/>
    <w:rsid w:val="004F6583"/>
    <w:rsid w:val="00526B8B"/>
    <w:rsid w:val="00535656"/>
    <w:rsid w:val="005B09A8"/>
    <w:rsid w:val="005B27FB"/>
    <w:rsid w:val="005D5794"/>
    <w:rsid w:val="00612CF4"/>
    <w:rsid w:val="00654BF5"/>
    <w:rsid w:val="00687955"/>
    <w:rsid w:val="0069347E"/>
    <w:rsid w:val="00697712"/>
    <w:rsid w:val="006B43DA"/>
    <w:rsid w:val="0071756D"/>
    <w:rsid w:val="00717779"/>
    <w:rsid w:val="00737F02"/>
    <w:rsid w:val="00795D53"/>
    <w:rsid w:val="0079762E"/>
    <w:rsid w:val="007A4413"/>
    <w:rsid w:val="007A752D"/>
    <w:rsid w:val="007B02CC"/>
    <w:rsid w:val="007B6F64"/>
    <w:rsid w:val="00801651"/>
    <w:rsid w:val="008355F5"/>
    <w:rsid w:val="009031C6"/>
    <w:rsid w:val="009123F5"/>
    <w:rsid w:val="0091319E"/>
    <w:rsid w:val="00922A5E"/>
    <w:rsid w:val="00930053"/>
    <w:rsid w:val="00941D02"/>
    <w:rsid w:val="00987602"/>
    <w:rsid w:val="009D3452"/>
    <w:rsid w:val="009F7597"/>
    <w:rsid w:val="00A54474"/>
    <w:rsid w:val="00A77C12"/>
    <w:rsid w:val="00AA2858"/>
    <w:rsid w:val="00AB37A8"/>
    <w:rsid w:val="00AB4BA6"/>
    <w:rsid w:val="00AB664C"/>
    <w:rsid w:val="00AC2CDA"/>
    <w:rsid w:val="00AD0AE4"/>
    <w:rsid w:val="00AE4B8C"/>
    <w:rsid w:val="00AF3ABA"/>
    <w:rsid w:val="00B16622"/>
    <w:rsid w:val="00B273F8"/>
    <w:rsid w:val="00B33149"/>
    <w:rsid w:val="00B7232C"/>
    <w:rsid w:val="00BA789E"/>
    <w:rsid w:val="00BE16DF"/>
    <w:rsid w:val="00BE7EAF"/>
    <w:rsid w:val="00BF7A04"/>
    <w:rsid w:val="00C009F2"/>
    <w:rsid w:val="00C11B6E"/>
    <w:rsid w:val="00C45DCA"/>
    <w:rsid w:val="00C465A7"/>
    <w:rsid w:val="00CA21D9"/>
    <w:rsid w:val="00CB100A"/>
    <w:rsid w:val="00CC43C4"/>
    <w:rsid w:val="00CE0D87"/>
    <w:rsid w:val="00CE35E7"/>
    <w:rsid w:val="00CF1810"/>
    <w:rsid w:val="00D14890"/>
    <w:rsid w:val="00D20137"/>
    <w:rsid w:val="00D5306D"/>
    <w:rsid w:val="00D64261"/>
    <w:rsid w:val="00D708FA"/>
    <w:rsid w:val="00DC72B9"/>
    <w:rsid w:val="00DD229A"/>
    <w:rsid w:val="00DD402D"/>
    <w:rsid w:val="00DF6432"/>
    <w:rsid w:val="00E24B6C"/>
    <w:rsid w:val="00E603AF"/>
    <w:rsid w:val="00E6384D"/>
    <w:rsid w:val="00E64AF8"/>
    <w:rsid w:val="00E84DF0"/>
    <w:rsid w:val="00EF03E7"/>
    <w:rsid w:val="00EF11F8"/>
    <w:rsid w:val="00F22DF3"/>
    <w:rsid w:val="00FC554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09AB"/>
  <w15:chartTrackingRefBased/>
  <w15:docId w15:val="{33A9B226-4E1A-4414-B4F0-DD97887A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,1,H1"/>
    <w:basedOn w:val="a"/>
    <w:next w:val="a"/>
    <w:link w:val="10"/>
    <w:qFormat/>
    <w:rsid w:val="005B09A8"/>
    <w:pPr>
      <w:keepNext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11"/>
      <w:contextualSpacing/>
      <w:jc w:val="both"/>
      <w:outlineLvl w:val="0"/>
    </w:pPr>
    <w:rPr>
      <w:rFonts w:eastAsia="Times New Roman" w:cstheme="minorHAnsi"/>
      <w:caps/>
      <w:noProof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semiHidden/>
    <w:unhideWhenUsed/>
    <w:qFormat/>
    <w:rsid w:val="005B09A8"/>
    <w:pPr>
      <w:keepNext/>
      <w:numPr>
        <w:ilvl w:val="1"/>
        <w:numId w:val="6"/>
      </w:numPr>
      <w:spacing w:before="240" w:after="60" w:line="240" w:lineRule="auto"/>
      <w:contextualSpacing/>
      <w:jc w:val="both"/>
      <w:outlineLvl w:val="1"/>
    </w:pPr>
    <w:rPr>
      <w:rFonts w:ascii="Arial" w:eastAsia="Times New Roman" w:hAnsi="Arial" w:cs="Arial"/>
      <w:iCs/>
      <w:caps/>
      <w:sz w:val="20"/>
      <w:szCs w:val="28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5B09A8"/>
    <w:pPr>
      <w:keepNext/>
      <w:numPr>
        <w:ilvl w:val="2"/>
        <w:numId w:val="6"/>
      </w:numPr>
      <w:suppressLineNumbers/>
      <w:spacing w:before="120" w:after="120" w:line="240" w:lineRule="auto"/>
      <w:contextualSpacing/>
      <w:jc w:val="both"/>
      <w:outlineLvl w:val="2"/>
    </w:pPr>
    <w:rPr>
      <w:rFonts w:ascii="Arial" w:eastAsia="Times New Roman" w:hAnsi="Arial" w:cs="Arial"/>
      <w:bCs/>
      <w:i/>
      <w:sz w:val="20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B09A8"/>
    <w:pPr>
      <w:keepNext/>
      <w:numPr>
        <w:ilvl w:val="3"/>
        <w:numId w:val="6"/>
      </w:numPr>
      <w:spacing w:after="120" w:line="240" w:lineRule="auto"/>
      <w:contextualSpacing/>
      <w:jc w:val="both"/>
      <w:outlineLvl w:val="3"/>
    </w:pPr>
    <w:rPr>
      <w:rFonts w:ascii="Arial" w:eastAsia="Times New Roman" w:hAnsi="Arial" w:cs="Times New Roman"/>
      <w:color w:val="0000F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B09A8"/>
    <w:pPr>
      <w:keepNext/>
      <w:numPr>
        <w:ilvl w:val="4"/>
        <w:numId w:val="6"/>
      </w:numPr>
      <w:spacing w:before="60" w:after="60" w:line="240" w:lineRule="auto"/>
      <w:contextualSpacing/>
      <w:jc w:val="both"/>
      <w:outlineLvl w:val="4"/>
    </w:pPr>
    <w:rPr>
      <w:rFonts w:ascii="Arial" w:eastAsia="Times New Roman" w:hAnsi="Arial" w:cs="Times New Roman"/>
      <w:i/>
      <w:sz w:val="26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09A8"/>
    <w:pPr>
      <w:keepNext/>
      <w:numPr>
        <w:ilvl w:val="5"/>
        <w:numId w:val="6"/>
      </w:numPr>
      <w:spacing w:before="60" w:after="60" w:line="240" w:lineRule="auto"/>
      <w:contextualSpacing/>
      <w:jc w:val="center"/>
      <w:outlineLvl w:val="5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B09A8"/>
    <w:pPr>
      <w:keepNext/>
      <w:numPr>
        <w:ilvl w:val="6"/>
        <w:numId w:val="6"/>
      </w:numPr>
      <w:spacing w:before="60" w:after="60" w:line="240" w:lineRule="auto"/>
      <w:contextualSpacing/>
      <w:jc w:val="both"/>
      <w:outlineLvl w:val="6"/>
    </w:pPr>
    <w:rPr>
      <w:rFonts w:ascii="Arial" w:eastAsia="Times New Roman" w:hAnsi="Arial" w:cs="Times New Roman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B09A8"/>
    <w:pPr>
      <w:keepNext/>
      <w:numPr>
        <w:ilvl w:val="7"/>
        <w:numId w:val="6"/>
      </w:numPr>
      <w:spacing w:before="60" w:after="60" w:line="240" w:lineRule="auto"/>
      <w:contextualSpacing/>
      <w:jc w:val="center"/>
      <w:outlineLvl w:val="7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B09A8"/>
    <w:pPr>
      <w:numPr>
        <w:ilvl w:val="8"/>
        <w:numId w:val="6"/>
      </w:numPr>
      <w:spacing w:before="240" w:after="60" w:line="240" w:lineRule="auto"/>
      <w:contextualSpacing/>
      <w:jc w:val="both"/>
      <w:outlineLvl w:val="8"/>
    </w:pPr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9E"/>
    <w:pPr>
      <w:ind w:left="720"/>
      <w:contextualSpacing/>
    </w:pPr>
  </w:style>
  <w:style w:type="character" w:customStyle="1" w:styleId="10">
    <w:name w:val="Заголовок 1 Знак"/>
    <w:aliases w:val="h1 Знак,1 Знак,H1 Знак"/>
    <w:basedOn w:val="a0"/>
    <w:link w:val="1"/>
    <w:rsid w:val="005B09A8"/>
    <w:rPr>
      <w:rFonts w:eastAsia="Times New Roman" w:cstheme="minorHAnsi"/>
      <w:caps/>
      <w:noProof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0"/>
    <w:link w:val="2"/>
    <w:semiHidden/>
    <w:rsid w:val="005B09A8"/>
    <w:rPr>
      <w:rFonts w:ascii="Arial" w:eastAsia="Times New Roman" w:hAnsi="Arial" w:cs="Arial"/>
      <w:iCs/>
      <w:caps/>
      <w:sz w:val="20"/>
      <w:szCs w:val="28"/>
    </w:rPr>
  </w:style>
  <w:style w:type="character" w:customStyle="1" w:styleId="30">
    <w:name w:val="Заголовок 3 Знак"/>
    <w:aliases w:val="h3 Знак"/>
    <w:basedOn w:val="a0"/>
    <w:link w:val="3"/>
    <w:semiHidden/>
    <w:rsid w:val="005B09A8"/>
    <w:rPr>
      <w:rFonts w:ascii="Arial" w:eastAsia="Times New Roman" w:hAnsi="Arial" w:cs="Arial"/>
      <w:bCs/>
      <w:i/>
      <w:sz w:val="20"/>
      <w:szCs w:val="26"/>
    </w:rPr>
  </w:style>
  <w:style w:type="character" w:customStyle="1" w:styleId="40">
    <w:name w:val="Заголовок 4 Знак"/>
    <w:basedOn w:val="a0"/>
    <w:link w:val="4"/>
    <w:semiHidden/>
    <w:rsid w:val="005B09A8"/>
    <w:rPr>
      <w:rFonts w:ascii="Arial" w:eastAsia="Times New Roman" w:hAnsi="Arial" w:cs="Times New Roman"/>
      <w:color w:val="0000F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B09A8"/>
    <w:rPr>
      <w:rFonts w:ascii="Arial" w:eastAsia="Times New Roman" w:hAnsi="Arial" w:cs="Times New Roman"/>
      <w:i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09A8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B09A8"/>
    <w:rPr>
      <w:rFonts w:ascii="Arial" w:eastAsia="Times New Roman" w:hAnsi="Arial" w:cs="Times New Roman"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5B09A8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B09A8"/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E7E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7E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7E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7E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7E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EA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1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42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Евгения Юрьевна</dc:creator>
  <cp:keywords/>
  <dc:description/>
  <cp:lastModifiedBy>Вьюгин Никита Михайлович</cp:lastModifiedBy>
  <cp:revision>11</cp:revision>
  <dcterms:created xsi:type="dcterms:W3CDTF">2024-07-22T10:49:00Z</dcterms:created>
  <dcterms:modified xsi:type="dcterms:W3CDTF">2024-07-22T13:50:00Z</dcterms:modified>
</cp:coreProperties>
</file>