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706138" w:rsidRDefault="00CD6302" w:rsidP="00706138">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06138" w:rsidRPr="007F3DCF">
        <w:rPr>
          <w:rFonts w:ascii="Times New Roman" w:hAnsi="Times New Roman"/>
          <w:b/>
          <w:sz w:val="28"/>
          <w:szCs w:val="28"/>
        </w:rPr>
        <w:t xml:space="preserve">СТАЛЬНОЙ ТРУБЫ 273Х8 СТ.20 </w:t>
      </w:r>
    </w:p>
    <w:p w:rsidR="00706138" w:rsidRPr="007F3DCF" w:rsidRDefault="00706138" w:rsidP="00706138">
      <w:pPr>
        <w:spacing w:after="0" w:line="240" w:lineRule="auto"/>
        <w:jc w:val="center"/>
        <w:rPr>
          <w:rFonts w:ascii="Times New Roman" w:hAnsi="Times New Roman"/>
          <w:b/>
          <w:sz w:val="28"/>
          <w:szCs w:val="28"/>
        </w:rPr>
      </w:pPr>
      <w:r w:rsidRPr="007F3DCF">
        <w:rPr>
          <w:rFonts w:ascii="Times New Roman" w:hAnsi="Times New Roman"/>
          <w:b/>
          <w:sz w:val="28"/>
          <w:szCs w:val="28"/>
        </w:rPr>
        <w:t xml:space="preserve">ГОСТ 8732-78 </w:t>
      </w:r>
      <w:proofErr w:type="gramStart"/>
      <w:r w:rsidRPr="007F3DCF">
        <w:rPr>
          <w:rFonts w:ascii="Times New Roman" w:hAnsi="Times New Roman"/>
          <w:b/>
          <w:sz w:val="28"/>
          <w:szCs w:val="28"/>
        </w:rPr>
        <w:t>ПО</w:t>
      </w:r>
      <w:proofErr w:type="gramEnd"/>
      <w:r w:rsidRPr="007F3DCF">
        <w:rPr>
          <w:rFonts w:ascii="Times New Roman" w:hAnsi="Times New Roman"/>
          <w:b/>
          <w:sz w:val="28"/>
          <w:szCs w:val="28"/>
        </w:rPr>
        <w:t xml:space="preserve"> К/О № П-359</w:t>
      </w:r>
    </w:p>
    <w:p w:rsidR="00706138" w:rsidRPr="003C1C9A" w:rsidRDefault="00706138" w:rsidP="00706138">
      <w:pPr>
        <w:spacing w:after="0" w:line="240" w:lineRule="auto"/>
        <w:jc w:val="center"/>
        <w:rPr>
          <w:rFonts w:ascii="Times New Roman" w:eastAsia="Times New Roman" w:hAnsi="Times New Roman" w:cs="Times New Roman"/>
          <w:b/>
          <w:sz w:val="24"/>
          <w:szCs w:val="24"/>
        </w:rPr>
      </w:pPr>
      <w:r w:rsidRPr="007F3DCF">
        <w:rPr>
          <w:rFonts w:ascii="Times New Roman" w:hAnsi="Times New Roman"/>
          <w:b/>
          <w:sz w:val="28"/>
          <w:szCs w:val="28"/>
        </w:rPr>
        <w:t xml:space="preserve"> ДЛЯ  ГРУЗОПАССАЖИРСКОГО СУДНА ПРОЕКТА CNF22</w:t>
      </w:r>
    </w:p>
    <w:p w:rsidR="005C4CBB" w:rsidRPr="003C1C9A" w:rsidRDefault="005C4CBB" w:rsidP="00706138">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06138" w:rsidRPr="007F3DCF">
        <w:rPr>
          <w:rFonts w:ascii="Times New Roman" w:hAnsi="Times New Roman" w:cs="Times New Roman"/>
          <w:sz w:val="24"/>
          <w:szCs w:val="24"/>
        </w:rPr>
        <w:t xml:space="preserve">стальной </w:t>
      </w:r>
      <w:r w:rsidR="00706138">
        <w:rPr>
          <w:rFonts w:ascii="Times New Roman" w:hAnsi="Times New Roman" w:cs="Times New Roman"/>
          <w:sz w:val="24"/>
          <w:szCs w:val="24"/>
        </w:rPr>
        <w:t>трубы 273х8 ст.20 ГОСТ 8732-78  по</w:t>
      </w:r>
      <w:proofErr w:type="gramStart"/>
      <w:r w:rsidR="00706138">
        <w:rPr>
          <w:rFonts w:ascii="Times New Roman" w:hAnsi="Times New Roman" w:cs="Times New Roman"/>
          <w:sz w:val="24"/>
          <w:szCs w:val="24"/>
        </w:rPr>
        <w:t xml:space="preserve"> К</w:t>
      </w:r>
      <w:proofErr w:type="gramEnd"/>
      <w:r w:rsidR="00706138">
        <w:rPr>
          <w:rFonts w:ascii="Times New Roman" w:hAnsi="Times New Roman" w:cs="Times New Roman"/>
          <w:sz w:val="24"/>
          <w:szCs w:val="24"/>
        </w:rPr>
        <w:t>/О № П-359</w:t>
      </w:r>
      <w:r w:rsidR="00706138" w:rsidRPr="007F3DCF">
        <w:rPr>
          <w:rFonts w:ascii="Times New Roman" w:hAnsi="Times New Roman" w:cs="Times New Roman"/>
          <w:sz w:val="24"/>
          <w:szCs w:val="24"/>
        </w:rPr>
        <w:t xml:space="preserve"> для  грузопассажирского судна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06138">
        <w:rPr>
          <w:rFonts w:eastAsia="Courier New"/>
          <w:color w:val="000000"/>
          <w:spacing w:val="-4"/>
          <w:sz w:val="24"/>
          <w:szCs w:val="24"/>
        </w:rPr>
        <w:t>в течение  14</w:t>
      </w:r>
      <w:r w:rsidR="00706138" w:rsidRPr="00903E35">
        <w:rPr>
          <w:rFonts w:eastAsia="Courier New"/>
          <w:color w:val="000000"/>
          <w:spacing w:val="-4"/>
          <w:sz w:val="24"/>
          <w:szCs w:val="24"/>
        </w:rPr>
        <w:t xml:space="preserve">  (</w:t>
      </w:r>
      <w:r w:rsidR="00706138">
        <w:rPr>
          <w:rFonts w:eastAsia="Courier New"/>
          <w:color w:val="000000"/>
          <w:spacing w:val="-4"/>
          <w:sz w:val="24"/>
          <w:szCs w:val="24"/>
        </w:rPr>
        <w:t>четырнадцать</w:t>
      </w:r>
      <w:r w:rsidR="00706138" w:rsidRPr="00903E35">
        <w:rPr>
          <w:rFonts w:eastAsia="Courier New"/>
          <w:color w:val="000000"/>
          <w:spacing w:val="-4"/>
          <w:sz w:val="24"/>
          <w:szCs w:val="24"/>
        </w:rPr>
        <w:t xml:space="preserve">)  </w:t>
      </w:r>
      <w:r w:rsidR="00706138">
        <w:rPr>
          <w:rFonts w:eastAsia="Courier New"/>
          <w:color w:val="000000"/>
          <w:spacing w:val="-4"/>
          <w:sz w:val="24"/>
          <w:szCs w:val="24"/>
        </w:rPr>
        <w:t>рабочих дней , c момента 10</w:t>
      </w:r>
      <w:r w:rsidR="00706138"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06138">
        <w:rPr>
          <w:sz w:val="24"/>
          <w:szCs w:val="24"/>
        </w:rPr>
        <w:t xml:space="preserve">751 500,00 </w:t>
      </w:r>
      <w:r w:rsidR="00706138">
        <w:rPr>
          <w:bCs/>
          <w:sz w:val="24"/>
          <w:szCs w:val="24"/>
        </w:rPr>
        <w:t xml:space="preserve">рублей </w:t>
      </w:r>
      <w:r w:rsidR="00706138" w:rsidRPr="00E12402">
        <w:rPr>
          <w:sz w:val="24"/>
          <w:szCs w:val="24"/>
        </w:rPr>
        <w:t>с НДС</w:t>
      </w:r>
      <w:r w:rsidR="00706138">
        <w:rPr>
          <w:sz w:val="24"/>
          <w:szCs w:val="24"/>
        </w:rPr>
        <w:t>.</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06138">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06138">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70613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06138">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706138">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06138">
              <w:rPr>
                <w:rFonts w:ascii="Times New Roman" w:hAnsi="Times New Roman" w:cs="Times New Roman"/>
                <w:sz w:val="24"/>
                <w:szCs w:val="24"/>
              </w:rPr>
              <w:t>17</w:t>
            </w:r>
            <w:r w:rsidR="00F654B1">
              <w:rPr>
                <w:rFonts w:ascii="Times New Roman" w:hAnsi="Times New Roman" w:cs="Times New Roman"/>
                <w:sz w:val="24"/>
                <w:szCs w:val="24"/>
              </w:rPr>
              <w:t>.01.2023</w:t>
            </w:r>
            <w:r w:rsidR="00706138">
              <w:rPr>
                <w:rFonts w:ascii="Times New Roman" w:hAnsi="Times New Roman" w:cs="Times New Roman"/>
                <w:sz w:val="24"/>
                <w:szCs w:val="24"/>
              </w:rPr>
              <w:t xml:space="preserve"> 09</w:t>
            </w:r>
            <w:r w:rsidR="00701E8A">
              <w:rPr>
                <w:rFonts w:ascii="Times New Roman" w:hAnsi="Times New Roman" w:cs="Times New Roman"/>
                <w:sz w:val="24"/>
                <w:szCs w:val="24"/>
              </w:rPr>
              <w:t>:</w:t>
            </w:r>
            <w:r w:rsidR="00706138">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06138">
              <w:rPr>
                <w:rFonts w:ascii="Times New Roman" w:hAnsi="Times New Roman" w:cs="Times New Roman"/>
                <w:sz w:val="24"/>
                <w:szCs w:val="24"/>
              </w:rPr>
              <w:t>23</w:t>
            </w:r>
            <w:r w:rsidR="00F654B1">
              <w:rPr>
                <w:rFonts w:ascii="Times New Roman" w:hAnsi="Times New Roman" w:cs="Times New Roman"/>
                <w:sz w:val="24"/>
                <w:szCs w:val="24"/>
              </w:rPr>
              <w:t>.01.2023</w:t>
            </w:r>
            <w:r w:rsidR="00706138">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63CB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63CB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06138">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06138">
        <w:rPr>
          <w:rFonts w:ascii="Times New Roman" w:hAnsi="Times New Roman" w:cs="Times New Roman"/>
          <w:sz w:val="24"/>
          <w:szCs w:val="24"/>
          <w:u w:val="single"/>
        </w:rPr>
        <w:t>17</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706138">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06138">
        <w:rPr>
          <w:rFonts w:ascii="Times New Roman" w:hAnsi="Times New Roman" w:cs="Times New Roman"/>
          <w:sz w:val="24"/>
          <w:szCs w:val="24"/>
          <w:u w:val="single"/>
        </w:rPr>
        <w:t>20</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06138">
        <w:rPr>
          <w:rFonts w:ascii="Times New Roman" w:hAnsi="Times New Roman" w:cs="Times New Roman"/>
          <w:sz w:val="24"/>
          <w:szCs w:val="24"/>
          <w:u w:val="single"/>
          <w:lang w:eastAsia="en-US"/>
        </w:rPr>
        <w:t>28</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706138" w:rsidRDefault="00706138" w:rsidP="00706138">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06138" w:rsidRPr="00EB7430" w:rsidRDefault="00706138" w:rsidP="00706138">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10</w:t>
      </w:r>
      <w:r w:rsidRPr="00AB332E">
        <w:rPr>
          <w:rFonts w:ascii="Times New Roman" w:eastAsia="DejaVu Sans" w:hAnsi="Times New Roman" w:cs="Times New Roman"/>
          <w:sz w:val="24"/>
          <w:szCs w:val="24"/>
        </w:rPr>
        <w:t>0%,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06138" w:rsidRDefault="00706138" w:rsidP="0070613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163CB7" w:rsidRPr="009D5A38" w:rsidRDefault="00163CB7" w:rsidP="00163CB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163CB7" w:rsidRPr="009D5A38" w:rsidRDefault="00163CB7" w:rsidP="00163CB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63CB7" w:rsidRPr="009D5A38" w:rsidRDefault="00163CB7" w:rsidP="00163CB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163CB7" w:rsidRPr="009D5A38" w:rsidRDefault="00163CB7" w:rsidP="00163CB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63CB7" w:rsidRPr="009D5A38" w:rsidRDefault="00163CB7" w:rsidP="00163CB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06138" w:rsidRDefault="0070613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63CB7" w:rsidRDefault="00163CB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bookmarkStart w:id="0" w:name="_GoBack"/>
      <w:bookmarkEnd w:id="0"/>
    </w:p>
    <w:p w:rsidR="00706138" w:rsidRDefault="0070613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06138" w:rsidRPr="007F3DCF" w:rsidRDefault="00706138" w:rsidP="00706138">
      <w:pPr>
        <w:tabs>
          <w:tab w:val="left" w:pos="0"/>
        </w:tabs>
        <w:spacing w:after="0" w:line="240" w:lineRule="auto"/>
        <w:ind w:right="566"/>
        <w:jc w:val="center"/>
        <w:rPr>
          <w:rFonts w:ascii="Times New Roman" w:hAnsi="Times New Roman" w:cs="Times New Roman"/>
          <w:b/>
          <w:i/>
          <w:sz w:val="24"/>
          <w:szCs w:val="24"/>
        </w:rPr>
      </w:pPr>
      <w:r w:rsidRPr="007F3DCF">
        <w:rPr>
          <w:rFonts w:ascii="Times New Roman" w:hAnsi="Times New Roman" w:cs="Times New Roman"/>
          <w:b/>
          <w:sz w:val="24"/>
          <w:szCs w:val="24"/>
          <w:lang w:eastAsia="en-US"/>
        </w:rPr>
        <w:t xml:space="preserve">на приобретение </w:t>
      </w:r>
      <w:r w:rsidRPr="007F3DCF">
        <w:rPr>
          <w:rFonts w:ascii="Times New Roman" w:hAnsi="Times New Roman" w:cs="Times New Roman"/>
          <w:b/>
          <w:i/>
          <w:sz w:val="24"/>
          <w:szCs w:val="24"/>
        </w:rPr>
        <w:t xml:space="preserve">стальной трубы 273х8 ст.20 ГОСТ 8732-78 </w:t>
      </w:r>
    </w:p>
    <w:p w:rsidR="00706138" w:rsidRPr="007F3DCF" w:rsidRDefault="00706138" w:rsidP="00706138">
      <w:pPr>
        <w:tabs>
          <w:tab w:val="left" w:pos="0"/>
        </w:tabs>
        <w:spacing w:after="0" w:line="240" w:lineRule="auto"/>
        <w:ind w:right="566"/>
        <w:jc w:val="center"/>
        <w:rPr>
          <w:rFonts w:ascii="Times New Roman" w:hAnsi="Times New Roman" w:cs="Times New Roman"/>
          <w:b/>
          <w:i/>
          <w:sz w:val="24"/>
          <w:szCs w:val="24"/>
        </w:rPr>
      </w:pPr>
      <w:r w:rsidRPr="007F3DCF">
        <w:rPr>
          <w:rFonts w:ascii="Times New Roman" w:hAnsi="Times New Roman" w:cs="Times New Roman"/>
          <w:b/>
          <w:i/>
          <w:sz w:val="24"/>
          <w:szCs w:val="24"/>
        </w:rPr>
        <w:t xml:space="preserve"> по</w:t>
      </w:r>
      <w:proofErr w:type="gramStart"/>
      <w:r w:rsidRPr="007F3DCF">
        <w:rPr>
          <w:rFonts w:ascii="Times New Roman" w:hAnsi="Times New Roman" w:cs="Times New Roman"/>
          <w:b/>
          <w:i/>
          <w:sz w:val="24"/>
          <w:szCs w:val="24"/>
        </w:rPr>
        <w:t xml:space="preserve"> К</w:t>
      </w:r>
      <w:proofErr w:type="gramEnd"/>
      <w:r w:rsidRPr="007F3DCF">
        <w:rPr>
          <w:rFonts w:ascii="Times New Roman" w:hAnsi="Times New Roman" w:cs="Times New Roman"/>
          <w:b/>
          <w:i/>
          <w:sz w:val="24"/>
          <w:szCs w:val="24"/>
        </w:rPr>
        <w:t>/О № П-359</w:t>
      </w:r>
    </w:p>
    <w:p w:rsidR="00706138" w:rsidRPr="007F3DCF" w:rsidRDefault="00706138" w:rsidP="00706138">
      <w:pPr>
        <w:tabs>
          <w:tab w:val="left" w:pos="0"/>
        </w:tabs>
        <w:spacing w:after="0" w:line="240" w:lineRule="auto"/>
        <w:ind w:right="566"/>
        <w:jc w:val="center"/>
        <w:rPr>
          <w:rFonts w:ascii="Times New Roman" w:hAnsi="Times New Roman" w:cs="Times New Roman"/>
          <w:b/>
          <w:i/>
          <w:sz w:val="24"/>
          <w:szCs w:val="24"/>
        </w:rPr>
      </w:pPr>
      <w:r w:rsidRPr="007F3DCF">
        <w:rPr>
          <w:rFonts w:ascii="Times New Roman" w:hAnsi="Times New Roman" w:cs="Times New Roman"/>
          <w:b/>
          <w:i/>
          <w:sz w:val="24"/>
          <w:szCs w:val="24"/>
        </w:rPr>
        <w:t xml:space="preserve"> для  грузопассажирского судна проекта </w:t>
      </w:r>
      <w:r w:rsidRPr="007F3DCF">
        <w:rPr>
          <w:rFonts w:ascii="Times New Roman" w:hAnsi="Times New Roman" w:cs="Times New Roman"/>
          <w:b/>
          <w:i/>
          <w:sz w:val="24"/>
          <w:szCs w:val="24"/>
          <w:lang w:val="en-US"/>
        </w:rPr>
        <w:t>CNF</w:t>
      </w:r>
      <w:r w:rsidRPr="007F3DCF">
        <w:rPr>
          <w:rFonts w:ascii="Times New Roman" w:hAnsi="Times New Roman" w:cs="Times New Roman"/>
          <w:b/>
          <w:i/>
          <w:sz w:val="24"/>
          <w:szCs w:val="24"/>
        </w:rPr>
        <w:t xml:space="preserve">22 </w:t>
      </w:r>
    </w:p>
    <w:p w:rsidR="00706138" w:rsidRPr="007F3DCF" w:rsidRDefault="00706138" w:rsidP="00706138">
      <w:pPr>
        <w:tabs>
          <w:tab w:val="left" w:pos="0"/>
        </w:tabs>
        <w:spacing w:after="0" w:line="240" w:lineRule="auto"/>
        <w:ind w:right="566"/>
        <w:jc w:val="center"/>
        <w:rPr>
          <w:rFonts w:ascii="Times New Roman" w:hAnsi="Times New Roman" w:cs="Times New Roman"/>
          <w:b/>
          <w:sz w:val="20"/>
          <w:szCs w:val="20"/>
        </w:rPr>
      </w:pPr>
    </w:p>
    <w:p w:rsidR="00706138" w:rsidRPr="007F3DCF" w:rsidRDefault="00706138" w:rsidP="00706138">
      <w:pPr>
        <w:tabs>
          <w:tab w:val="left" w:pos="0"/>
        </w:tabs>
        <w:spacing w:after="0" w:line="240" w:lineRule="auto"/>
        <w:ind w:right="-2"/>
        <w:jc w:val="both"/>
        <w:rPr>
          <w:rFonts w:ascii="Times New Roman" w:hAnsi="Times New Roman" w:cs="Times New Roman"/>
          <w:b/>
          <w:sz w:val="20"/>
          <w:szCs w:val="20"/>
        </w:rPr>
      </w:pPr>
      <w:r w:rsidRPr="007F3DCF">
        <w:rPr>
          <w:rFonts w:ascii="Times New Roman" w:hAnsi="Times New Roman" w:cs="Times New Roman"/>
          <w:b/>
          <w:sz w:val="20"/>
          <w:szCs w:val="20"/>
        </w:rPr>
        <w:t>1. Требование к количественным характеристикам поставки.</w:t>
      </w:r>
    </w:p>
    <w:p w:rsidR="00706138" w:rsidRPr="007F3DCF" w:rsidRDefault="00706138" w:rsidP="00706138">
      <w:pPr>
        <w:tabs>
          <w:tab w:val="left" w:pos="567"/>
        </w:tabs>
        <w:spacing w:after="0" w:line="240" w:lineRule="auto"/>
        <w:ind w:right="-2"/>
        <w:rPr>
          <w:rFonts w:ascii="Times New Roman" w:hAnsi="Times New Roman" w:cs="Times New Roman"/>
          <w:sz w:val="20"/>
          <w:szCs w:val="20"/>
        </w:rPr>
      </w:pPr>
      <w:r w:rsidRPr="007F3DCF">
        <w:rPr>
          <w:rFonts w:ascii="Times New Roman" w:hAnsi="Times New Roman" w:cs="Times New Roman"/>
          <w:sz w:val="20"/>
          <w:szCs w:val="20"/>
        </w:rPr>
        <w:t xml:space="preserve"> 1.1.Предметом настоящего технического задания является запрос котировок стальной трубы 273х8 ст.20                        ГОСТ 8732-78 по</w:t>
      </w:r>
      <w:proofErr w:type="gramStart"/>
      <w:r w:rsidRPr="007F3DCF">
        <w:rPr>
          <w:rFonts w:ascii="Times New Roman" w:hAnsi="Times New Roman" w:cs="Times New Roman"/>
          <w:sz w:val="20"/>
          <w:szCs w:val="20"/>
        </w:rPr>
        <w:t xml:space="preserve"> К</w:t>
      </w:r>
      <w:proofErr w:type="gramEnd"/>
      <w:r w:rsidRPr="007F3DCF">
        <w:rPr>
          <w:rFonts w:ascii="Times New Roman" w:hAnsi="Times New Roman" w:cs="Times New Roman"/>
          <w:sz w:val="20"/>
          <w:szCs w:val="20"/>
        </w:rPr>
        <w:t>/О № П-359 для  грузопассажирского судна проекта</w:t>
      </w:r>
      <w:r w:rsidRPr="007F3DCF">
        <w:rPr>
          <w:sz w:val="20"/>
          <w:szCs w:val="20"/>
        </w:rPr>
        <w:t xml:space="preserve"> CNF22 </w:t>
      </w:r>
      <w:r w:rsidRPr="007F3DCF">
        <w:rPr>
          <w:rFonts w:ascii="Times New Roman" w:hAnsi="Times New Roman" w:cs="Times New Roman"/>
          <w:sz w:val="20"/>
          <w:szCs w:val="20"/>
        </w:rPr>
        <w:t xml:space="preserve">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7F3DCF">
        <w:rPr>
          <w:rFonts w:ascii="Times New Roman" w:hAnsi="Times New Roman" w:cs="Times New Roman"/>
          <w:sz w:val="20"/>
          <w:szCs w:val="20"/>
          <w:lang w:val="en-US"/>
        </w:rPr>
        <w:t>CNF</w:t>
      </w:r>
      <w:r w:rsidRPr="007F3DCF">
        <w:rPr>
          <w:rFonts w:ascii="Times New Roman" w:hAnsi="Times New Roman" w:cs="Times New Roman"/>
          <w:sz w:val="20"/>
          <w:szCs w:val="20"/>
        </w:rPr>
        <w:t>22» от 19.08.2019 года.</w:t>
      </w: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lang w:eastAsia="ru-RU"/>
        </w:rPr>
      </w:pPr>
      <w:r w:rsidRPr="007F3DCF">
        <w:rPr>
          <w:rFonts w:ascii="Times New Roman" w:hAnsi="Times New Roman" w:cs="Times New Roman"/>
          <w:sz w:val="20"/>
          <w:szCs w:val="20"/>
        </w:rPr>
        <w:t>1.2.</w:t>
      </w:r>
      <w:r w:rsidRPr="007F3DCF">
        <w:rPr>
          <w:rFonts w:ascii="Times New Roman"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lang w:eastAsia="ru-RU"/>
        </w:rPr>
      </w:pPr>
      <w:r w:rsidRPr="007F3DCF">
        <w:rPr>
          <w:rFonts w:ascii="Times New Roman" w:hAnsi="Times New Roman" w:cs="Times New Roman"/>
          <w:sz w:val="20"/>
          <w:szCs w:val="20"/>
          <w:lang w:eastAsia="ru-RU"/>
        </w:rPr>
        <w:t xml:space="preserve">1.3. Срок поставки товара: в течение 14 (четырнадцати) рабочих дней с момента 100% предоплаты,  с правом досрочной поставки. </w:t>
      </w: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rPr>
      </w:pPr>
      <w:r w:rsidRPr="007F3DCF">
        <w:rPr>
          <w:rFonts w:ascii="Times New Roman" w:hAnsi="Times New Roman" w:cs="Times New Roman"/>
          <w:sz w:val="20"/>
          <w:szCs w:val="20"/>
        </w:rPr>
        <w:t>1.4. Товар должен иметь следующую сопроводительную документацию:</w:t>
      </w: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rPr>
      </w:pPr>
      <w:r w:rsidRPr="007F3DCF">
        <w:rPr>
          <w:rFonts w:ascii="Times New Roman" w:hAnsi="Times New Roman" w:cs="Times New Roman"/>
          <w:sz w:val="20"/>
          <w:szCs w:val="20"/>
        </w:rPr>
        <w:t xml:space="preserve">-Сертификаты качества оригиналы </w:t>
      </w:r>
      <w:r w:rsidRPr="007F3DCF">
        <w:rPr>
          <w:sz w:val="20"/>
          <w:szCs w:val="20"/>
        </w:rPr>
        <w:t xml:space="preserve"> </w:t>
      </w:r>
      <w:r w:rsidRPr="007F3DCF">
        <w:rPr>
          <w:rFonts w:ascii="Times New Roman" w:hAnsi="Times New Roman" w:cs="Times New Roman"/>
          <w:sz w:val="20"/>
          <w:szCs w:val="20"/>
        </w:rPr>
        <w:t>или надлежащим образом заверенные копии сертификатов качества завода изготовителя.</w:t>
      </w: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rPr>
      </w:pPr>
      <w:r w:rsidRPr="007F3DCF">
        <w:rPr>
          <w:rFonts w:ascii="Times New Roman" w:hAnsi="Times New Roman" w:cs="Times New Roman"/>
          <w:sz w:val="20"/>
          <w:szCs w:val="20"/>
        </w:rPr>
        <w:t>- Товарно-транспортная накладная (оригинал).</w:t>
      </w: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rPr>
      </w:pPr>
      <w:r w:rsidRPr="007F3DCF">
        <w:rPr>
          <w:rFonts w:ascii="Times New Roman" w:hAnsi="Times New Roman" w:cs="Times New Roman"/>
          <w:sz w:val="20"/>
          <w:szCs w:val="20"/>
        </w:rPr>
        <w:t xml:space="preserve">- Товарная накладная (оригинал). </w:t>
      </w: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rPr>
      </w:pPr>
      <w:r w:rsidRPr="007F3DCF">
        <w:rPr>
          <w:rFonts w:ascii="Times New Roman" w:hAnsi="Times New Roman" w:cs="Times New Roman"/>
          <w:sz w:val="20"/>
          <w:szCs w:val="20"/>
        </w:rPr>
        <w:t>- Счёт-фактура (оригинал)</w:t>
      </w:r>
      <w:r w:rsidRPr="007F3DCF">
        <w:rPr>
          <w:sz w:val="20"/>
          <w:szCs w:val="20"/>
        </w:rPr>
        <w:t xml:space="preserve"> </w:t>
      </w:r>
      <w:r w:rsidRPr="007F3DCF">
        <w:rPr>
          <w:rFonts w:ascii="Times New Roman" w:hAnsi="Times New Roman" w:cs="Times New Roman"/>
          <w:sz w:val="20"/>
          <w:szCs w:val="20"/>
        </w:rPr>
        <w:t>или УПД (оригинал).</w:t>
      </w:r>
    </w:p>
    <w:p w:rsidR="00706138" w:rsidRPr="007F3DCF" w:rsidRDefault="00706138" w:rsidP="00706138">
      <w:pPr>
        <w:tabs>
          <w:tab w:val="left" w:pos="0"/>
          <w:tab w:val="left" w:pos="13750"/>
        </w:tabs>
        <w:spacing w:after="0" w:line="240" w:lineRule="auto"/>
        <w:ind w:right="-2"/>
        <w:jc w:val="both"/>
        <w:rPr>
          <w:rFonts w:ascii="Times New Roman" w:hAnsi="Times New Roman" w:cs="Times New Roman"/>
          <w:sz w:val="20"/>
          <w:szCs w:val="20"/>
          <w:lang w:eastAsia="ar-SA"/>
        </w:rPr>
      </w:pPr>
      <w:r w:rsidRPr="007F3DCF">
        <w:rPr>
          <w:rFonts w:ascii="Times New Roman" w:hAnsi="Times New Roman" w:cs="Times New Roman"/>
          <w:sz w:val="20"/>
          <w:szCs w:val="20"/>
        </w:rPr>
        <w:t xml:space="preserve"> 1.5</w:t>
      </w:r>
      <w:r w:rsidRPr="007F3DCF">
        <w:rPr>
          <w:rFonts w:ascii="Times New Roman"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706138" w:rsidRPr="007F3DCF" w:rsidRDefault="00706138" w:rsidP="00706138">
      <w:pPr>
        <w:tabs>
          <w:tab w:val="left" w:pos="0"/>
        </w:tabs>
        <w:ind w:right="-2"/>
        <w:contextualSpacing/>
        <w:jc w:val="both"/>
        <w:rPr>
          <w:rFonts w:ascii="Times New Roman" w:hAnsi="Times New Roman" w:cs="Times New Roman"/>
          <w:sz w:val="20"/>
          <w:szCs w:val="20"/>
        </w:rPr>
      </w:pPr>
      <w:r w:rsidRPr="007F3DCF">
        <w:rPr>
          <w:rFonts w:ascii="Times New Roman" w:hAnsi="Times New Roman"/>
          <w:sz w:val="20"/>
          <w:szCs w:val="20"/>
        </w:rPr>
        <w:t xml:space="preserve"> 1</w:t>
      </w:r>
      <w:r w:rsidRPr="007F3DCF">
        <w:rPr>
          <w:rFonts w:ascii="Times New Roman" w:hAnsi="Times New Roman" w:cs="Times New Roman"/>
          <w:sz w:val="20"/>
          <w:szCs w:val="20"/>
        </w:rPr>
        <w:t>.6.Перечень необходимого Товара:</w:t>
      </w:r>
    </w:p>
    <w:p w:rsidR="00706138" w:rsidRPr="007F3DCF" w:rsidRDefault="00706138" w:rsidP="00706138">
      <w:pPr>
        <w:tabs>
          <w:tab w:val="left" w:pos="0"/>
        </w:tabs>
        <w:spacing w:after="0" w:line="240" w:lineRule="auto"/>
        <w:ind w:right="-2"/>
        <w:jc w:val="both"/>
        <w:rPr>
          <w:rFonts w:ascii="Times New Roman" w:hAnsi="Times New Roman" w:cs="Times New Roman"/>
          <w:b/>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260"/>
        <w:gridCol w:w="1163"/>
        <w:gridCol w:w="853"/>
        <w:gridCol w:w="1132"/>
        <w:gridCol w:w="992"/>
        <w:gridCol w:w="1418"/>
        <w:gridCol w:w="1801"/>
      </w:tblGrid>
      <w:tr w:rsidR="00706138" w:rsidRPr="007F3DCF" w:rsidTr="00706138">
        <w:trPr>
          <w:trHeight w:val="900"/>
        </w:trPr>
        <w:tc>
          <w:tcPr>
            <w:tcW w:w="546" w:type="dxa"/>
            <w:shd w:val="clear" w:color="auto" w:fill="auto"/>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 xml:space="preserve">№ </w:t>
            </w:r>
            <w:proofErr w:type="gramStart"/>
            <w:r w:rsidRPr="007F3DCF">
              <w:rPr>
                <w:rFonts w:eastAsia="Times New Roman"/>
                <w:b/>
                <w:bCs/>
                <w:lang w:eastAsia="ru-RU"/>
              </w:rPr>
              <w:t>п</w:t>
            </w:r>
            <w:proofErr w:type="gramEnd"/>
            <w:r w:rsidRPr="007F3DCF">
              <w:rPr>
                <w:rFonts w:eastAsia="Times New Roman"/>
                <w:b/>
                <w:bCs/>
                <w:lang w:eastAsia="ru-RU"/>
              </w:rPr>
              <w:t>/п</w:t>
            </w:r>
          </w:p>
        </w:tc>
        <w:tc>
          <w:tcPr>
            <w:tcW w:w="2260"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Наименование</w:t>
            </w:r>
          </w:p>
        </w:tc>
        <w:tc>
          <w:tcPr>
            <w:tcW w:w="1163"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ГОСТ</w:t>
            </w:r>
          </w:p>
        </w:tc>
        <w:tc>
          <w:tcPr>
            <w:tcW w:w="853"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Марка стали</w:t>
            </w:r>
          </w:p>
        </w:tc>
        <w:tc>
          <w:tcPr>
            <w:tcW w:w="1132" w:type="dxa"/>
            <w:shd w:val="clear" w:color="auto" w:fill="auto"/>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proofErr w:type="spellStart"/>
            <w:r w:rsidRPr="007F3DCF">
              <w:rPr>
                <w:rFonts w:eastAsia="Times New Roman"/>
                <w:b/>
                <w:bCs/>
                <w:lang w:eastAsia="ru-RU"/>
              </w:rPr>
              <w:t>Ед</w:t>
            </w:r>
            <w:proofErr w:type="gramStart"/>
            <w:r w:rsidRPr="007F3DCF">
              <w:rPr>
                <w:rFonts w:eastAsia="Times New Roman"/>
                <w:b/>
                <w:bCs/>
                <w:lang w:eastAsia="ru-RU"/>
              </w:rPr>
              <w:t>.и</w:t>
            </w:r>
            <w:proofErr w:type="gramEnd"/>
            <w:r w:rsidRPr="007F3DCF">
              <w:rPr>
                <w:rFonts w:eastAsia="Times New Roman"/>
                <w:b/>
                <w:bCs/>
                <w:lang w:eastAsia="ru-RU"/>
              </w:rPr>
              <w:t>зм</w:t>
            </w:r>
            <w:proofErr w:type="spellEnd"/>
          </w:p>
        </w:tc>
        <w:tc>
          <w:tcPr>
            <w:tcW w:w="992" w:type="dxa"/>
            <w:shd w:val="clear" w:color="auto" w:fill="auto"/>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Кол-во</w:t>
            </w:r>
          </w:p>
        </w:tc>
        <w:tc>
          <w:tcPr>
            <w:tcW w:w="1418" w:type="dxa"/>
            <w:shd w:val="clear" w:color="auto" w:fill="auto"/>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 xml:space="preserve">Цена  без НДС за </w:t>
            </w:r>
            <w:proofErr w:type="spellStart"/>
            <w:r w:rsidRPr="007F3DCF">
              <w:rPr>
                <w:rFonts w:eastAsia="Times New Roman"/>
                <w:b/>
                <w:bCs/>
                <w:lang w:eastAsia="ru-RU"/>
              </w:rPr>
              <w:t>тн</w:t>
            </w:r>
            <w:proofErr w:type="spellEnd"/>
            <w:r w:rsidRPr="007F3DCF">
              <w:rPr>
                <w:rFonts w:eastAsia="Times New Roman"/>
                <w:b/>
                <w:bCs/>
                <w:lang w:eastAsia="ru-RU"/>
              </w:rPr>
              <w:t>/</w:t>
            </w:r>
            <w:proofErr w:type="spellStart"/>
            <w:r w:rsidRPr="007F3DCF">
              <w:rPr>
                <w:rFonts w:eastAsia="Times New Roman"/>
                <w:b/>
                <w:bCs/>
                <w:lang w:eastAsia="ru-RU"/>
              </w:rPr>
              <w:t>руб</w:t>
            </w:r>
            <w:proofErr w:type="spellEnd"/>
          </w:p>
        </w:tc>
        <w:tc>
          <w:tcPr>
            <w:tcW w:w="1801" w:type="dxa"/>
            <w:shd w:val="clear" w:color="auto" w:fill="auto"/>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 xml:space="preserve">Сумма </w:t>
            </w:r>
            <w:proofErr w:type="spellStart"/>
            <w:r w:rsidRPr="007F3DCF">
              <w:rPr>
                <w:rFonts w:eastAsia="Times New Roman"/>
                <w:b/>
                <w:bCs/>
                <w:lang w:eastAsia="ru-RU"/>
              </w:rPr>
              <w:t>руб</w:t>
            </w:r>
            <w:proofErr w:type="spellEnd"/>
          </w:p>
        </w:tc>
      </w:tr>
      <w:tr w:rsidR="00706138" w:rsidRPr="007F3DCF" w:rsidTr="00706138">
        <w:trPr>
          <w:trHeight w:val="300"/>
        </w:trPr>
        <w:tc>
          <w:tcPr>
            <w:tcW w:w="546" w:type="dxa"/>
            <w:shd w:val="clear" w:color="000000" w:fill="FFFFFF"/>
            <w:vAlign w:val="center"/>
            <w:hideMark/>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1</w:t>
            </w:r>
          </w:p>
        </w:tc>
        <w:tc>
          <w:tcPr>
            <w:tcW w:w="2260" w:type="dxa"/>
            <w:shd w:val="clear" w:color="000000" w:fill="FFFFFF"/>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Труба стальная бесшовная 273х8</w:t>
            </w:r>
          </w:p>
        </w:tc>
        <w:tc>
          <w:tcPr>
            <w:tcW w:w="1163" w:type="dxa"/>
            <w:shd w:val="clear" w:color="000000" w:fill="FFFFFF"/>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8732-78</w:t>
            </w:r>
          </w:p>
        </w:tc>
        <w:tc>
          <w:tcPr>
            <w:tcW w:w="853" w:type="dxa"/>
            <w:shd w:val="clear" w:color="000000" w:fill="FFFFFF"/>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ст.20</w:t>
            </w:r>
          </w:p>
        </w:tc>
        <w:tc>
          <w:tcPr>
            <w:tcW w:w="1132"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proofErr w:type="spellStart"/>
            <w:r w:rsidRPr="007F3DCF">
              <w:rPr>
                <w:rFonts w:eastAsia="Times New Roman"/>
                <w:lang w:eastAsia="ru-RU"/>
              </w:rPr>
              <w:t>тн</w:t>
            </w:r>
            <w:proofErr w:type="spellEnd"/>
          </w:p>
        </w:tc>
        <w:tc>
          <w:tcPr>
            <w:tcW w:w="992"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3,0</w:t>
            </w:r>
          </w:p>
        </w:tc>
        <w:tc>
          <w:tcPr>
            <w:tcW w:w="1418"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208,75</w:t>
            </w:r>
          </w:p>
        </w:tc>
        <w:tc>
          <w:tcPr>
            <w:tcW w:w="1801"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626 250,00</w:t>
            </w:r>
          </w:p>
        </w:tc>
      </w:tr>
      <w:tr w:rsidR="00706138" w:rsidRPr="007F3DCF" w:rsidTr="00706138">
        <w:trPr>
          <w:trHeight w:val="300"/>
        </w:trPr>
        <w:tc>
          <w:tcPr>
            <w:tcW w:w="546"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2</w:t>
            </w:r>
          </w:p>
        </w:tc>
        <w:tc>
          <w:tcPr>
            <w:tcW w:w="2260"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b/>
                <w:bCs/>
                <w:lang w:eastAsia="ru-RU"/>
              </w:rPr>
              <w:t>Итого без НДС:</w:t>
            </w:r>
          </w:p>
        </w:tc>
        <w:tc>
          <w:tcPr>
            <w:tcW w:w="1163"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p>
        </w:tc>
        <w:tc>
          <w:tcPr>
            <w:tcW w:w="853"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p>
        </w:tc>
        <w:tc>
          <w:tcPr>
            <w:tcW w:w="1132"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proofErr w:type="spellStart"/>
            <w:r w:rsidRPr="007F3DCF">
              <w:rPr>
                <w:rFonts w:eastAsia="Times New Roman"/>
                <w:lang w:eastAsia="ru-RU"/>
              </w:rPr>
              <w:t>тн</w:t>
            </w:r>
            <w:proofErr w:type="spellEnd"/>
          </w:p>
        </w:tc>
        <w:tc>
          <w:tcPr>
            <w:tcW w:w="992"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p>
        </w:tc>
        <w:tc>
          <w:tcPr>
            <w:tcW w:w="1418"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p>
        </w:tc>
        <w:tc>
          <w:tcPr>
            <w:tcW w:w="1801"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lang w:eastAsia="ru-RU"/>
              </w:rPr>
            </w:pPr>
            <w:r w:rsidRPr="007F3DCF">
              <w:rPr>
                <w:rFonts w:eastAsia="Times New Roman"/>
                <w:lang w:eastAsia="ru-RU"/>
              </w:rPr>
              <w:t>625 250,00</w:t>
            </w:r>
          </w:p>
        </w:tc>
      </w:tr>
      <w:tr w:rsidR="00706138" w:rsidRPr="007F3DCF" w:rsidTr="00706138">
        <w:trPr>
          <w:trHeight w:val="300"/>
        </w:trPr>
        <w:tc>
          <w:tcPr>
            <w:tcW w:w="546"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3</w:t>
            </w:r>
          </w:p>
        </w:tc>
        <w:tc>
          <w:tcPr>
            <w:tcW w:w="2260"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НДС 20%:</w:t>
            </w:r>
          </w:p>
        </w:tc>
        <w:tc>
          <w:tcPr>
            <w:tcW w:w="1163"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p>
        </w:tc>
        <w:tc>
          <w:tcPr>
            <w:tcW w:w="853"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p>
        </w:tc>
        <w:tc>
          <w:tcPr>
            <w:tcW w:w="1132"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p>
        </w:tc>
        <w:tc>
          <w:tcPr>
            <w:tcW w:w="992"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p>
        </w:tc>
        <w:tc>
          <w:tcPr>
            <w:tcW w:w="1418"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p>
        </w:tc>
        <w:tc>
          <w:tcPr>
            <w:tcW w:w="1801"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125 250,00</w:t>
            </w:r>
          </w:p>
        </w:tc>
      </w:tr>
      <w:tr w:rsidR="00706138" w:rsidRPr="007F3DCF" w:rsidTr="00706138">
        <w:trPr>
          <w:trHeight w:val="300"/>
        </w:trPr>
        <w:tc>
          <w:tcPr>
            <w:tcW w:w="546"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4</w:t>
            </w:r>
          </w:p>
        </w:tc>
        <w:tc>
          <w:tcPr>
            <w:tcW w:w="2260"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Всего с НДС:</w:t>
            </w:r>
          </w:p>
        </w:tc>
        <w:tc>
          <w:tcPr>
            <w:tcW w:w="1163"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p>
        </w:tc>
        <w:tc>
          <w:tcPr>
            <w:tcW w:w="853"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p>
        </w:tc>
        <w:tc>
          <w:tcPr>
            <w:tcW w:w="1132" w:type="dxa"/>
            <w:shd w:val="clear" w:color="auto" w:fill="auto"/>
            <w:noWrap/>
            <w:vAlign w:val="center"/>
            <w:hideMark/>
          </w:tcPr>
          <w:p w:rsidR="00706138" w:rsidRPr="007F3DCF" w:rsidRDefault="00706138" w:rsidP="00706138">
            <w:pPr>
              <w:suppressAutoHyphens w:val="0"/>
              <w:spacing w:after="0" w:line="240" w:lineRule="auto"/>
              <w:ind w:right="-2"/>
              <w:jc w:val="center"/>
              <w:rPr>
                <w:rFonts w:eastAsia="Times New Roman"/>
                <w:b/>
                <w:bCs/>
                <w:lang w:eastAsia="ru-RU"/>
              </w:rPr>
            </w:pPr>
          </w:p>
        </w:tc>
        <w:tc>
          <w:tcPr>
            <w:tcW w:w="992"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p>
        </w:tc>
        <w:tc>
          <w:tcPr>
            <w:tcW w:w="1418"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p>
        </w:tc>
        <w:tc>
          <w:tcPr>
            <w:tcW w:w="1801" w:type="dxa"/>
            <w:shd w:val="clear" w:color="auto" w:fill="auto"/>
            <w:noWrap/>
            <w:vAlign w:val="center"/>
          </w:tcPr>
          <w:p w:rsidR="00706138" w:rsidRPr="007F3DCF" w:rsidRDefault="00706138" w:rsidP="00706138">
            <w:pPr>
              <w:suppressAutoHyphens w:val="0"/>
              <w:spacing w:after="0" w:line="240" w:lineRule="auto"/>
              <w:ind w:right="-2"/>
              <w:jc w:val="center"/>
              <w:rPr>
                <w:rFonts w:eastAsia="Times New Roman"/>
                <w:b/>
                <w:bCs/>
                <w:lang w:eastAsia="ru-RU"/>
              </w:rPr>
            </w:pPr>
            <w:r w:rsidRPr="007F3DCF">
              <w:rPr>
                <w:rFonts w:eastAsia="Times New Roman"/>
                <w:b/>
                <w:bCs/>
                <w:lang w:eastAsia="ru-RU"/>
              </w:rPr>
              <w:t>751 500,00</w:t>
            </w:r>
          </w:p>
        </w:tc>
      </w:tr>
    </w:tbl>
    <w:p w:rsidR="00706138" w:rsidRPr="007F3DCF" w:rsidRDefault="00706138" w:rsidP="00706138">
      <w:pPr>
        <w:tabs>
          <w:tab w:val="left" w:pos="0"/>
        </w:tabs>
        <w:spacing w:after="0" w:line="240" w:lineRule="auto"/>
        <w:ind w:right="-2"/>
        <w:jc w:val="both"/>
        <w:rPr>
          <w:rFonts w:ascii="Times New Roman" w:hAnsi="Times New Roman" w:cs="Times New Roman"/>
          <w:b/>
          <w:sz w:val="20"/>
          <w:szCs w:val="20"/>
        </w:rPr>
      </w:pPr>
    </w:p>
    <w:p w:rsidR="00706138" w:rsidRPr="007F3DCF" w:rsidRDefault="00706138" w:rsidP="00706138">
      <w:pPr>
        <w:tabs>
          <w:tab w:val="left" w:pos="0"/>
        </w:tabs>
        <w:spacing w:after="0" w:line="240" w:lineRule="auto"/>
        <w:ind w:right="-2"/>
        <w:jc w:val="both"/>
        <w:rPr>
          <w:rFonts w:ascii="Times New Roman" w:hAnsi="Times New Roman" w:cs="Times New Roman"/>
          <w:sz w:val="20"/>
          <w:szCs w:val="20"/>
        </w:rPr>
      </w:pPr>
      <w:r w:rsidRPr="007F3DCF">
        <w:rPr>
          <w:rFonts w:ascii="Times New Roman" w:hAnsi="Times New Roman" w:cs="Times New Roman"/>
          <w:b/>
          <w:sz w:val="20"/>
          <w:szCs w:val="20"/>
        </w:rPr>
        <w:t>2. Требование к качеству и безопасности товара.</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2.1.Качество поставляемого товара должно соответствовать отнесенным Законом в области стандартизации документам:</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 xml:space="preserve"> - национальные стандарты РФ;</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 xml:space="preserve"> - правила по стандартизации, нормы и рекомендации в области стандартизации;</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 xml:space="preserve"> - общероссийские классификаторы технико-экономической и социальной информации.</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7F3DCF">
        <w:rPr>
          <w:rFonts w:ascii="Times New Roman" w:eastAsia="Times New Roman" w:hAnsi="Times New Roman" w:cs="Times New Roman"/>
          <w:sz w:val="20"/>
          <w:szCs w:val="20"/>
          <w:lang w:eastAsia="en-US"/>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en-US"/>
        </w:rPr>
        <w:t xml:space="preserve">  </w:t>
      </w:r>
      <w:r w:rsidRPr="007F3DCF">
        <w:rPr>
          <w:rFonts w:ascii="Times New Roman" w:eastAsia="Times New Roman" w:hAnsi="Times New Roman" w:cs="Times New Roman"/>
          <w:sz w:val="20"/>
          <w:szCs w:val="20"/>
          <w:lang w:eastAsia="ar-SA"/>
        </w:rPr>
        <w:t>2.3.</w:t>
      </w:r>
      <w:r w:rsidRPr="007F3DCF">
        <w:rPr>
          <w:rFonts w:ascii="Times New Roman" w:eastAsia="Times New Roman" w:hAnsi="Times New Roman" w:cs="Times New Roman"/>
          <w:sz w:val="20"/>
          <w:szCs w:val="20"/>
          <w:lang w:eastAsia="en-US"/>
        </w:rPr>
        <w:t>Ответственность за безопасность эксплуатации поставляемого товара в гарантийный период несет Поставщик.</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w:t>
      </w:r>
      <w:r w:rsidRPr="007F3DCF">
        <w:rPr>
          <w:rFonts w:ascii="Times New Roman" w:eastAsia="Times New Roman" w:hAnsi="Times New Roman" w:cs="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7F3DCF">
        <w:rPr>
          <w:rFonts w:ascii="Times New Roman" w:eastAsia="Times New Roman" w:hAnsi="Times New Roman" w:cs="Times New Roman"/>
          <w:sz w:val="20"/>
          <w:szCs w:val="20"/>
          <w:lang w:eastAsia="en-US"/>
        </w:rPr>
        <w:t xml:space="preserve">    </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proofErr w:type="gramStart"/>
      <w:r w:rsidRPr="007F3DCF">
        <w:rPr>
          <w:rFonts w:ascii="Times New Roman" w:eastAsia="Times New Roman" w:hAnsi="Times New Roman" w:cs="Times New Roman"/>
          <w:sz w:val="20"/>
          <w:szCs w:val="20"/>
          <w:lang w:eastAsia="en-US"/>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2.6.Возможен </w:t>
      </w:r>
      <w:proofErr w:type="spellStart"/>
      <w:r w:rsidRPr="007F3DCF">
        <w:rPr>
          <w:rFonts w:ascii="Times New Roman" w:eastAsia="Times New Roman" w:hAnsi="Times New Roman" w:cs="Times New Roman"/>
          <w:sz w:val="20"/>
          <w:szCs w:val="20"/>
          <w:lang w:eastAsia="en-US"/>
        </w:rPr>
        <w:t>толеранс</w:t>
      </w:r>
      <w:proofErr w:type="spellEnd"/>
      <w:r w:rsidRPr="007F3DCF">
        <w:rPr>
          <w:rFonts w:ascii="Times New Roman" w:eastAsia="Times New Roman" w:hAnsi="Times New Roman" w:cs="Times New Roman"/>
          <w:sz w:val="20"/>
          <w:szCs w:val="20"/>
          <w:lang w:eastAsia="en-US"/>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7F3DCF">
        <w:rPr>
          <w:rFonts w:ascii="Times New Roman" w:eastAsia="Times New Roman" w:hAnsi="Times New Roman" w:cs="Times New Roman"/>
          <w:sz w:val="20"/>
          <w:szCs w:val="20"/>
          <w:lang w:eastAsia="en-US"/>
        </w:rPr>
        <w:t>счет-фактуры</w:t>
      </w:r>
      <w:proofErr w:type="gramEnd"/>
      <w:r w:rsidRPr="007F3DCF">
        <w:rPr>
          <w:rFonts w:ascii="Times New Roman" w:eastAsia="Times New Roman" w:hAnsi="Times New Roman" w:cs="Times New Roman"/>
          <w:sz w:val="20"/>
          <w:szCs w:val="20"/>
          <w:lang w:eastAsia="en-US"/>
        </w:rPr>
        <w:t>.</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2.7.Поставленный Товар должен соответствовать требованиям ГОСТ 10692 п.5.1,п.5.2. «Маркировка».</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b/>
          <w:sz w:val="20"/>
          <w:szCs w:val="20"/>
          <w:lang w:eastAsia="ru-RU"/>
        </w:rPr>
        <w:t>3. Требования к условиям договора.</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3.2.В течение 14 (четырнадцати) рабочих дней с момента 100% предоплаты, с правом досрочной поставки Поставщик обязан поставить товар Покупателю на склад.</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7F3DCF">
        <w:rPr>
          <w:rFonts w:ascii="Times New Roman" w:eastAsia="Times New Roman" w:hAnsi="Times New Roman" w:cs="Times New Roman"/>
          <w:sz w:val="20"/>
          <w:szCs w:val="20"/>
          <w:lang w:eastAsia="ru-RU"/>
        </w:rPr>
        <w:t>складе</w:t>
      </w:r>
      <w:proofErr w:type="gramEnd"/>
      <w:r w:rsidRPr="007F3DCF">
        <w:rPr>
          <w:rFonts w:ascii="Times New Roman" w:eastAsia="Times New Roman" w:hAnsi="Times New Roman" w:cs="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lastRenderedPageBreak/>
        <w:t xml:space="preserve">3.4.В </w:t>
      </w:r>
      <w:proofErr w:type="gramStart"/>
      <w:r w:rsidRPr="007F3DCF">
        <w:rPr>
          <w:rFonts w:ascii="Times New Roman" w:eastAsia="Times New Roman" w:hAnsi="Times New Roman" w:cs="Times New Roman"/>
          <w:sz w:val="20"/>
          <w:szCs w:val="20"/>
          <w:lang w:eastAsia="ru-RU"/>
        </w:rPr>
        <w:t>случае</w:t>
      </w:r>
      <w:proofErr w:type="gramEnd"/>
      <w:r w:rsidRPr="007F3DCF">
        <w:rPr>
          <w:rFonts w:ascii="Times New Roman" w:eastAsia="Times New Roman" w:hAnsi="Times New Roman" w:cs="Times New Roman"/>
          <w:sz w:val="20"/>
          <w:szCs w:val="20"/>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 xml:space="preserve">3.5.Существенные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proofErr w:type="gramStart"/>
      <w:r w:rsidRPr="007F3DCF">
        <w:rPr>
          <w:rFonts w:ascii="Times New Roman" w:eastAsia="Times New Roman" w:hAnsi="Times New Roman" w:cs="Times New Roman"/>
          <w:sz w:val="20"/>
          <w:szCs w:val="20"/>
          <w:lang w:eastAsia="ru-RU"/>
        </w:rPr>
        <w:t>оплачивает штраф в</w:t>
      </w:r>
      <w:proofErr w:type="gramEnd"/>
      <w:r w:rsidRPr="007F3DCF">
        <w:rPr>
          <w:rFonts w:ascii="Times New Roman" w:eastAsia="Times New Roman" w:hAnsi="Times New Roman" w:cs="Times New Roman"/>
          <w:sz w:val="20"/>
          <w:szCs w:val="20"/>
          <w:lang w:eastAsia="ru-RU"/>
        </w:rPr>
        <w:t xml:space="preserve"> размере 15% от  стоимости </w:t>
      </w:r>
      <w:proofErr w:type="spellStart"/>
      <w:r w:rsidRPr="007F3DCF">
        <w:rPr>
          <w:rFonts w:ascii="Times New Roman" w:eastAsia="Times New Roman" w:hAnsi="Times New Roman" w:cs="Times New Roman"/>
          <w:sz w:val="20"/>
          <w:szCs w:val="20"/>
          <w:lang w:eastAsia="ru-RU"/>
        </w:rPr>
        <w:t>непоставленной</w:t>
      </w:r>
      <w:proofErr w:type="spellEnd"/>
      <w:r w:rsidRPr="007F3DCF">
        <w:rPr>
          <w:rFonts w:ascii="Times New Roman" w:eastAsia="Times New Roman" w:hAnsi="Times New Roman" w:cs="Times New Roman"/>
          <w:sz w:val="20"/>
          <w:szCs w:val="20"/>
          <w:lang w:eastAsia="ru-RU"/>
        </w:rPr>
        <w:t xml:space="preserve"> продукции.</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en-US"/>
        </w:rPr>
        <w:t xml:space="preserve">3.6.После подписания договора поставки на Продукцию, Поставщик, в течение 10 (десяти) календарных дней </w:t>
      </w:r>
      <w:proofErr w:type="gramStart"/>
      <w:r w:rsidRPr="007F3DCF">
        <w:rPr>
          <w:rFonts w:ascii="Times New Roman" w:eastAsia="Times New Roman" w:hAnsi="Times New Roman" w:cs="Times New Roman"/>
          <w:sz w:val="20"/>
          <w:szCs w:val="20"/>
          <w:lang w:eastAsia="en-US"/>
        </w:rPr>
        <w:t>с даты подписания</w:t>
      </w:r>
      <w:proofErr w:type="gramEnd"/>
      <w:r w:rsidRPr="007F3DCF">
        <w:rPr>
          <w:rFonts w:ascii="Times New Roman" w:eastAsia="Times New Roman" w:hAnsi="Times New Roman" w:cs="Times New Roman"/>
          <w:sz w:val="20"/>
          <w:szCs w:val="20"/>
          <w:lang w:eastAsia="en-US"/>
        </w:rPr>
        <w:t xml:space="preserve">, обязуется направить подписанный договор, на следующий электронный адрес: </w:t>
      </w:r>
      <w:proofErr w:type="spellStart"/>
      <w:r w:rsidRPr="007F3DCF">
        <w:rPr>
          <w:rFonts w:ascii="Times New Roman" w:eastAsia="Times New Roman" w:hAnsi="Times New Roman" w:cs="Times New Roman"/>
          <w:sz w:val="20"/>
          <w:szCs w:val="20"/>
          <w:lang w:val="en-US" w:eastAsia="en-US"/>
        </w:rPr>
        <w:t>metall</w:t>
      </w:r>
      <w:proofErr w:type="spellEnd"/>
      <w:r w:rsidRPr="007F3DCF">
        <w:rPr>
          <w:rFonts w:ascii="Times New Roman" w:eastAsia="Times New Roman" w:hAnsi="Times New Roman" w:cs="Times New Roman"/>
          <w:sz w:val="20"/>
          <w:szCs w:val="20"/>
          <w:u w:val="single"/>
          <w:lang w:eastAsia="en-US"/>
        </w:rPr>
        <w:t>@</w:t>
      </w:r>
      <w:proofErr w:type="spellStart"/>
      <w:r w:rsidRPr="007F3DCF">
        <w:rPr>
          <w:rFonts w:ascii="Times New Roman" w:eastAsia="Times New Roman" w:hAnsi="Times New Roman" w:cs="Times New Roman"/>
          <w:sz w:val="20"/>
          <w:szCs w:val="20"/>
          <w:u w:val="single"/>
          <w:lang w:val="en-US" w:eastAsia="en-US"/>
        </w:rPr>
        <w:t>kerchbutoma</w:t>
      </w:r>
      <w:proofErr w:type="spellEnd"/>
      <w:r w:rsidRPr="007F3DCF">
        <w:rPr>
          <w:rFonts w:ascii="Times New Roman" w:eastAsia="Times New Roman" w:hAnsi="Times New Roman" w:cs="Times New Roman"/>
          <w:sz w:val="20"/>
          <w:szCs w:val="20"/>
          <w:u w:val="single"/>
          <w:lang w:eastAsia="en-US"/>
        </w:rPr>
        <w:t>.</w:t>
      </w:r>
      <w:proofErr w:type="spellStart"/>
      <w:r w:rsidRPr="007F3DCF">
        <w:rPr>
          <w:rFonts w:ascii="Times New Roman" w:eastAsia="Times New Roman" w:hAnsi="Times New Roman" w:cs="Times New Roman"/>
          <w:sz w:val="20"/>
          <w:szCs w:val="20"/>
          <w:u w:val="single"/>
          <w:lang w:val="en-US" w:eastAsia="en-US"/>
        </w:rPr>
        <w:t>ru</w:t>
      </w:r>
      <w:proofErr w:type="spellEnd"/>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b/>
          <w:sz w:val="20"/>
          <w:szCs w:val="20"/>
          <w:lang w:eastAsia="ru-RU"/>
        </w:rPr>
      </w:pP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b/>
          <w:sz w:val="20"/>
          <w:szCs w:val="20"/>
          <w:lang w:eastAsia="ru-RU"/>
        </w:rPr>
      </w:pPr>
      <w:r w:rsidRPr="007F3DCF">
        <w:rPr>
          <w:rFonts w:ascii="Times New Roman" w:eastAsia="Times New Roman" w:hAnsi="Times New Roman" w:cs="Times New Roman"/>
          <w:b/>
          <w:sz w:val="20"/>
          <w:szCs w:val="20"/>
          <w:lang w:eastAsia="ru-RU"/>
        </w:rPr>
        <w:t>4. Гарантийные обязательства.</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4.1. </w:t>
      </w:r>
      <w:r w:rsidRPr="007F3DCF">
        <w:rPr>
          <w:rFonts w:ascii="Times New Roman" w:eastAsia="Times New Roman" w:hAnsi="Times New Roman" w:cs="Times New Roman"/>
          <w:sz w:val="20"/>
          <w:szCs w:val="20"/>
          <w:lang w:eastAsia="ru-RU"/>
        </w:rPr>
        <w:t xml:space="preserve">Гарантийный срок: не менее 24 месяцев с момента </w:t>
      </w:r>
      <w:r w:rsidRPr="007F3DCF">
        <w:rPr>
          <w:rFonts w:ascii="Times New Roman" w:eastAsia="Times New Roman" w:hAnsi="Times New Roman" w:cs="Times New Roman"/>
          <w:sz w:val="20"/>
          <w:szCs w:val="20"/>
          <w:lang w:eastAsia="en-US"/>
        </w:rPr>
        <w:t xml:space="preserve"> сдачи  судна.</w:t>
      </w:r>
      <w:r w:rsidRPr="007F3DCF">
        <w:rPr>
          <w:rFonts w:ascii="Times New Roman" w:eastAsia="Times New Roman" w:hAnsi="Times New Roman" w:cs="Times New Roman"/>
          <w:sz w:val="20"/>
          <w:szCs w:val="20"/>
          <w:lang w:eastAsia="en-US"/>
        </w:rPr>
        <w:tab/>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4.2.Товар  должен быть новым, ранее не эксплуатируемым, не восстановленным, произведенным в 2022году.</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b/>
          <w:sz w:val="20"/>
          <w:szCs w:val="20"/>
          <w:lang w:eastAsia="ru-RU"/>
        </w:rPr>
      </w:pP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b/>
          <w:sz w:val="20"/>
          <w:szCs w:val="20"/>
          <w:lang w:eastAsia="ru-RU"/>
        </w:rPr>
      </w:pPr>
      <w:r w:rsidRPr="007F3DCF">
        <w:rPr>
          <w:rFonts w:ascii="Times New Roman" w:eastAsia="Times New Roman" w:hAnsi="Times New Roman" w:cs="Times New Roman"/>
          <w:b/>
          <w:sz w:val="20"/>
          <w:szCs w:val="20"/>
          <w:lang w:eastAsia="ru-RU"/>
        </w:rPr>
        <w:t>5. Требования к Поставщику.</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5.2.Не должен находиться в процессе ликвидации, банкротства и на его имущество не должен быть наложен арест.</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5.3.Иметь соответствующие разрешительные документы на исполнение услуг по договору.</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5.4.Обладать необходимыми профессиональными знаниями, опытом и репутацией.</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5.5.Иметь ресурсные возможности (финансовые, материально-технические, трудовые).</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5.6.Обеспечить способность выполнения обязательств по договору в требуемые сроки и с    должным качеством.</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5.7.Дополнительные требования и условия:</w:t>
      </w:r>
    </w:p>
    <w:p w:rsidR="00706138" w:rsidRPr="007F3DCF" w:rsidRDefault="00706138" w:rsidP="00706138">
      <w:pPr>
        <w:tabs>
          <w:tab w:val="left" w:pos="0"/>
          <w:tab w:val="left" w:pos="9498"/>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Наличие сертификатов качества на Товар</w:t>
      </w:r>
      <w:r w:rsidRPr="007F3DCF">
        <w:rPr>
          <w:rFonts w:eastAsia="Times New Roman" w:cs="Times New Roman"/>
          <w:sz w:val="20"/>
          <w:szCs w:val="20"/>
          <w:lang w:eastAsia="en-US"/>
        </w:rPr>
        <w:t xml:space="preserve"> </w:t>
      </w:r>
      <w:r w:rsidRPr="007F3DCF">
        <w:rPr>
          <w:rFonts w:ascii="Times New Roman" w:eastAsia="Times New Roman" w:hAnsi="Times New Roman" w:cs="Times New Roman"/>
          <w:sz w:val="20"/>
          <w:szCs w:val="20"/>
          <w:lang w:eastAsia="en-US"/>
        </w:rPr>
        <w:t>оригиналов  или надлежащим образом заверенные копии сертификатов качества завода изготовителя.</w:t>
      </w:r>
    </w:p>
    <w:p w:rsidR="00706138" w:rsidRPr="007F3DCF" w:rsidRDefault="00706138" w:rsidP="00706138">
      <w:pPr>
        <w:tabs>
          <w:tab w:val="left" w:pos="0"/>
          <w:tab w:val="left" w:pos="9498"/>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Наличие товарно-транспортной накладной (оригинал).</w:t>
      </w:r>
    </w:p>
    <w:p w:rsidR="00706138" w:rsidRPr="007F3DCF" w:rsidRDefault="00706138" w:rsidP="00706138">
      <w:pPr>
        <w:tabs>
          <w:tab w:val="left" w:pos="0"/>
          <w:tab w:val="left" w:pos="9498"/>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Наличие товарной накладной (оригинал). </w:t>
      </w:r>
    </w:p>
    <w:p w:rsidR="00706138" w:rsidRPr="007F3DCF" w:rsidRDefault="00706138" w:rsidP="00706138">
      <w:pPr>
        <w:tabs>
          <w:tab w:val="left" w:pos="0"/>
          <w:tab w:val="left" w:pos="9498"/>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Наличие </w:t>
      </w:r>
      <w:proofErr w:type="gramStart"/>
      <w:r w:rsidRPr="007F3DCF">
        <w:rPr>
          <w:rFonts w:ascii="Times New Roman" w:eastAsia="Times New Roman" w:hAnsi="Times New Roman" w:cs="Times New Roman"/>
          <w:sz w:val="20"/>
          <w:szCs w:val="20"/>
          <w:lang w:eastAsia="en-US"/>
        </w:rPr>
        <w:t>счёт-фактуры</w:t>
      </w:r>
      <w:proofErr w:type="gramEnd"/>
      <w:r w:rsidRPr="007F3DCF">
        <w:rPr>
          <w:rFonts w:ascii="Times New Roman" w:eastAsia="Times New Roman" w:hAnsi="Times New Roman" w:cs="Times New Roman"/>
          <w:sz w:val="20"/>
          <w:szCs w:val="20"/>
          <w:lang w:eastAsia="en-US"/>
        </w:rPr>
        <w:t xml:space="preserve"> (оригинал) или УПД (оригинал).</w:t>
      </w:r>
    </w:p>
    <w:p w:rsidR="00706138" w:rsidRPr="007F3DCF" w:rsidRDefault="00706138" w:rsidP="00706138">
      <w:pPr>
        <w:tabs>
          <w:tab w:val="left" w:pos="0"/>
          <w:tab w:val="left" w:pos="9498"/>
        </w:tabs>
        <w:suppressAutoHyphens w:val="0"/>
        <w:spacing w:line="240" w:lineRule="auto"/>
        <w:ind w:right="-2"/>
        <w:contextualSpacing/>
        <w:jc w:val="both"/>
        <w:rPr>
          <w:rFonts w:eastAsia="Times New Roman" w:cs="Times New Roman"/>
          <w:sz w:val="20"/>
          <w:szCs w:val="20"/>
          <w:lang w:eastAsia="en-US"/>
        </w:rPr>
      </w:pPr>
      <w:r w:rsidRPr="007F3DCF">
        <w:rPr>
          <w:rFonts w:ascii="Times New Roman" w:eastAsia="Times New Roman" w:hAnsi="Times New Roman" w:cs="Times New Roman"/>
          <w:sz w:val="20"/>
          <w:szCs w:val="20"/>
          <w:lang w:eastAsia="en-US"/>
        </w:rPr>
        <w:t>- Товар должен быть произведен только на территории РФ.</w:t>
      </w:r>
      <w:r w:rsidRPr="007F3DCF">
        <w:rPr>
          <w:rFonts w:eastAsia="Times New Roman" w:cs="Times New Roman"/>
          <w:sz w:val="20"/>
          <w:szCs w:val="20"/>
          <w:lang w:eastAsia="en-US"/>
        </w:rPr>
        <w:t xml:space="preserve"> </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5.8.Поставщик обязуется предоставить в срок не позднее 15 (пятнадцати) дней </w:t>
      </w:r>
      <w:proofErr w:type="gramStart"/>
      <w:r w:rsidRPr="007F3DCF">
        <w:rPr>
          <w:rFonts w:ascii="Times New Roman" w:eastAsia="Times New Roman" w:hAnsi="Times New Roman" w:cs="Times New Roman"/>
          <w:sz w:val="20"/>
          <w:szCs w:val="20"/>
          <w:lang w:eastAsia="en-US"/>
        </w:rPr>
        <w:t>с даты заключения</w:t>
      </w:r>
      <w:proofErr w:type="gramEnd"/>
      <w:r w:rsidRPr="007F3DCF">
        <w:rPr>
          <w:rFonts w:ascii="Times New Roman" w:eastAsia="Times New Roman" w:hAnsi="Times New Roman" w:cs="Times New Roman"/>
          <w:sz w:val="20"/>
          <w:szCs w:val="20"/>
          <w:lang w:eastAsia="en-US"/>
        </w:rPr>
        <w:t xml:space="preserve"> Договора обеспечение возврата аванса  по Договору в форме:        </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-безотзывной банковской гарантии (далее – банковская гарантия), выданной банком; </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5.9.Требования к банкам-гарантам при предоставлении обеспечения в виде банковской гарантии:</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банк должен иметь лицензию Центрального банка Российской Федерации;</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банк должен быть участником системы страхования вкладов;</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5.9.1.В банковской гарантии должно быть указано, что:</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передача прав по банковской гарантии не допускается;</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банковская гарантия вступает в силу со дня ее выдачи;</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5.9.2.Банковская гарантия должна содержать:</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указание на то, что любые споры по ней разрешаются в Арбитражном суде Республики Крым.</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5.9.3.Банковская гарантия должна соответствовать требованиям, установленным статьями 368 - 379 Гражданского кодекса РФ.</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5.9.4.Возврат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7F3DCF">
        <w:rPr>
          <w:rFonts w:ascii="Times New Roman" w:eastAsia="Times New Roman" w:hAnsi="Times New Roman" w:cs="Times New Roman"/>
          <w:sz w:val="20"/>
          <w:szCs w:val="20"/>
          <w:lang w:eastAsia="en-US"/>
        </w:rPr>
        <w:t>с даты окончания</w:t>
      </w:r>
      <w:proofErr w:type="gramEnd"/>
      <w:r w:rsidRPr="007F3DCF">
        <w:rPr>
          <w:rFonts w:ascii="Times New Roman" w:eastAsia="Times New Roman" w:hAnsi="Times New Roman" w:cs="Times New Roman"/>
          <w:sz w:val="20"/>
          <w:szCs w:val="20"/>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706138" w:rsidRPr="007F3DCF" w:rsidRDefault="00706138" w:rsidP="00706138">
      <w:pPr>
        <w:tabs>
          <w:tab w:val="left" w:pos="0"/>
        </w:tabs>
        <w:suppressAutoHyphens w:val="0"/>
        <w:spacing w:line="240" w:lineRule="auto"/>
        <w:ind w:right="-2"/>
        <w:contextualSpacing/>
        <w:jc w:val="both"/>
        <w:rPr>
          <w:rFonts w:ascii="Times New Roman" w:eastAsia="Times New Roman" w:hAnsi="Times New Roman" w:cs="Times New Roman"/>
          <w:b/>
          <w:sz w:val="20"/>
          <w:szCs w:val="20"/>
          <w:lang w:eastAsia="en-US"/>
        </w:rPr>
      </w:pPr>
    </w:p>
    <w:p w:rsidR="00706138" w:rsidRPr="007F3DCF" w:rsidRDefault="00706138" w:rsidP="00706138">
      <w:pPr>
        <w:tabs>
          <w:tab w:val="left" w:pos="0"/>
        </w:tabs>
        <w:suppressAutoHyphens w:val="0"/>
        <w:spacing w:line="240" w:lineRule="auto"/>
        <w:ind w:right="-2"/>
        <w:contextualSpacing/>
        <w:rPr>
          <w:rFonts w:ascii="Times New Roman" w:eastAsia="Times New Roman" w:hAnsi="Times New Roman" w:cs="Times New Roman"/>
          <w:b/>
          <w:sz w:val="20"/>
          <w:szCs w:val="20"/>
          <w:lang w:eastAsia="en-US"/>
        </w:rPr>
      </w:pPr>
      <w:r w:rsidRPr="007F3DCF">
        <w:rPr>
          <w:rFonts w:ascii="Times New Roman" w:eastAsia="Times New Roman" w:hAnsi="Times New Roman" w:cs="Times New Roman"/>
          <w:b/>
          <w:sz w:val="20"/>
          <w:szCs w:val="20"/>
          <w:lang w:eastAsia="en-US"/>
        </w:rPr>
        <w:t>6. Условия оплаты.</w:t>
      </w:r>
    </w:p>
    <w:p w:rsidR="00706138" w:rsidRPr="007F3DCF" w:rsidRDefault="00706138" w:rsidP="00706138">
      <w:pPr>
        <w:widowControl w:val="0"/>
        <w:tabs>
          <w:tab w:val="left" w:pos="0"/>
          <w:tab w:val="left" w:pos="851"/>
          <w:tab w:val="left" w:pos="993"/>
        </w:tabs>
        <w:autoSpaceDE w:val="0"/>
        <w:spacing w:after="0" w:line="240" w:lineRule="auto"/>
        <w:ind w:right="-2"/>
        <w:jc w:val="both"/>
        <w:rPr>
          <w:rFonts w:ascii="Times New Roman" w:hAnsi="Times New Roman" w:cs="Times New Roman"/>
          <w:sz w:val="20"/>
          <w:szCs w:val="20"/>
        </w:rPr>
      </w:pPr>
      <w:r w:rsidRPr="007F3DCF">
        <w:rPr>
          <w:rFonts w:ascii="Times New Roman" w:hAnsi="Times New Roman" w:cs="Times New Roman"/>
          <w:sz w:val="20"/>
          <w:szCs w:val="20"/>
        </w:rPr>
        <w:t>6.1.Условия оплаты: 100% предоплата с момента заключения договора поставки и спецификации.</w:t>
      </w:r>
    </w:p>
    <w:p w:rsidR="00706138" w:rsidRPr="007F3DCF" w:rsidRDefault="00706138" w:rsidP="00706138">
      <w:pPr>
        <w:widowControl w:val="0"/>
        <w:tabs>
          <w:tab w:val="left" w:pos="0"/>
          <w:tab w:val="left" w:pos="851"/>
          <w:tab w:val="left" w:pos="993"/>
        </w:tabs>
        <w:autoSpaceDE w:val="0"/>
        <w:spacing w:after="0" w:line="240" w:lineRule="auto"/>
        <w:ind w:right="-2"/>
        <w:jc w:val="both"/>
        <w:rPr>
          <w:rFonts w:ascii="Times New Roman" w:hAnsi="Times New Roman"/>
          <w:sz w:val="20"/>
          <w:szCs w:val="20"/>
        </w:rPr>
      </w:pPr>
    </w:p>
    <w:p w:rsidR="00706138" w:rsidRPr="007F3DCF" w:rsidRDefault="00706138" w:rsidP="00706138">
      <w:pPr>
        <w:tabs>
          <w:tab w:val="left" w:pos="0"/>
        </w:tabs>
        <w:autoSpaceDE w:val="0"/>
        <w:autoSpaceDN w:val="0"/>
        <w:adjustRightInd w:val="0"/>
        <w:spacing w:after="0" w:line="240" w:lineRule="auto"/>
        <w:ind w:right="-2"/>
        <w:rPr>
          <w:rFonts w:ascii="Times New Roman" w:eastAsia="Times New Roman" w:hAnsi="Times New Roman" w:cs="Times New Roman"/>
          <w:b/>
          <w:sz w:val="20"/>
          <w:szCs w:val="20"/>
          <w:lang w:eastAsia="ru-RU"/>
        </w:rPr>
      </w:pPr>
      <w:r w:rsidRPr="007F3DCF">
        <w:rPr>
          <w:rFonts w:ascii="Times New Roman" w:eastAsia="Times New Roman" w:hAnsi="Times New Roman" w:cs="Times New Roman"/>
          <w:b/>
          <w:sz w:val="20"/>
          <w:szCs w:val="20"/>
          <w:lang w:eastAsia="ru-RU"/>
        </w:rPr>
        <w:t>7.Обепечение исполнение договора</w:t>
      </w:r>
    </w:p>
    <w:p w:rsidR="00706138" w:rsidRPr="007F3DCF" w:rsidRDefault="00706138" w:rsidP="00706138">
      <w:pPr>
        <w:tabs>
          <w:tab w:val="left" w:pos="0"/>
        </w:tabs>
        <w:suppressAutoHyphens w:val="0"/>
        <w:autoSpaceDE w:val="0"/>
        <w:autoSpaceDN w:val="0"/>
        <w:adjustRightInd w:val="0"/>
        <w:spacing w:after="0" w:line="240" w:lineRule="auto"/>
        <w:ind w:right="-2"/>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val="x-none" w:eastAsia="en-US"/>
        </w:rPr>
        <w:t>(применяется для обеспечения исполнения обязательств по возврату аванса)</w:t>
      </w:r>
    </w:p>
    <w:p w:rsidR="00706138" w:rsidRPr="007F3DCF" w:rsidRDefault="00706138" w:rsidP="00706138">
      <w:pPr>
        <w:tabs>
          <w:tab w:val="left" w:pos="0"/>
        </w:tabs>
        <w:suppressAutoHyphens w:val="0"/>
        <w:autoSpaceDE w:val="0"/>
        <w:autoSpaceDN w:val="0"/>
        <w:adjustRightInd w:val="0"/>
        <w:spacing w:after="0" w:line="240" w:lineRule="auto"/>
        <w:ind w:right="-2"/>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.1.Поставщик обязуется предоставить в срок не позднее 1</w:t>
      </w:r>
      <w:r w:rsidRPr="007F3DCF">
        <w:rPr>
          <w:rFonts w:ascii="Times New Roman" w:eastAsiaTheme="minorHAnsi" w:hAnsi="Times New Roman" w:cs="Times New Roman"/>
          <w:sz w:val="20"/>
          <w:szCs w:val="20"/>
          <w:lang w:eastAsia="en-US"/>
        </w:rPr>
        <w:t>5</w:t>
      </w:r>
      <w:r w:rsidRPr="007F3DCF">
        <w:rPr>
          <w:rFonts w:ascii="Times New Roman" w:eastAsiaTheme="minorHAnsi" w:hAnsi="Times New Roman" w:cs="Times New Roman"/>
          <w:sz w:val="20"/>
          <w:szCs w:val="20"/>
          <w:lang w:val="x-none" w:eastAsia="en-US"/>
        </w:rPr>
        <w:t xml:space="preserve"> (</w:t>
      </w:r>
      <w:r w:rsidRPr="007F3DCF">
        <w:rPr>
          <w:rFonts w:ascii="Times New Roman" w:eastAsiaTheme="minorHAnsi" w:hAnsi="Times New Roman" w:cs="Times New Roman"/>
          <w:sz w:val="20"/>
          <w:szCs w:val="20"/>
          <w:lang w:eastAsia="en-US"/>
        </w:rPr>
        <w:t>пятнадцати</w:t>
      </w:r>
      <w:r w:rsidRPr="007F3DCF">
        <w:rPr>
          <w:rFonts w:ascii="Times New Roman" w:eastAsiaTheme="minorHAnsi" w:hAnsi="Times New Roman" w:cs="Times New Roman"/>
          <w:sz w:val="20"/>
          <w:szCs w:val="20"/>
          <w:lang w:val="x-none" w:eastAsia="en-US"/>
        </w:rPr>
        <w:t xml:space="preserve">) дней </w:t>
      </w:r>
      <w:proofErr w:type="gramStart"/>
      <w:r w:rsidRPr="007F3DCF">
        <w:rPr>
          <w:rFonts w:ascii="Times New Roman" w:eastAsiaTheme="minorHAnsi" w:hAnsi="Times New Roman" w:cs="Times New Roman"/>
          <w:sz w:val="20"/>
          <w:szCs w:val="20"/>
          <w:lang w:val="x-none" w:eastAsia="en-US"/>
        </w:rPr>
        <w:t>с даты заключения</w:t>
      </w:r>
      <w:proofErr w:type="gramEnd"/>
      <w:r w:rsidRPr="007F3DCF">
        <w:rPr>
          <w:rFonts w:ascii="Times New Roman" w:eastAsiaTheme="minorHAnsi" w:hAnsi="Times New Roman" w:cs="Times New Roman"/>
          <w:sz w:val="20"/>
          <w:szCs w:val="20"/>
          <w:lang w:val="x-none" w:eastAsia="en-US"/>
        </w:rPr>
        <w:t xml:space="preserve"> настоящего Договора обеспечение возврата аванса  по Договору в форме:</w:t>
      </w:r>
    </w:p>
    <w:p w:rsidR="00706138" w:rsidRPr="007F3DCF" w:rsidRDefault="00706138" w:rsidP="00706138">
      <w:pPr>
        <w:tabs>
          <w:tab w:val="left" w:pos="-426"/>
        </w:tabs>
        <w:suppressAutoHyphens w:val="0"/>
        <w:autoSpaceDE w:val="0"/>
        <w:autoSpaceDN w:val="0"/>
        <w:adjustRightInd w:val="0"/>
        <w:spacing w:after="0" w:line="240" w:lineRule="auto"/>
        <w:ind w:right="-2" w:hanging="993"/>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 xml:space="preserve">                    - </w:t>
      </w:r>
      <w:r w:rsidRPr="007F3DCF">
        <w:rPr>
          <w:rFonts w:ascii="Times New Roman" w:eastAsiaTheme="minorHAnsi"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706138" w:rsidRPr="007F3DCF" w:rsidRDefault="00706138" w:rsidP="00706138">
      <w:pPr>
        <w:tabs>
          <w:tab w:val="left" w:pos="0"/>
        </w:tabs>
        <w:suppressAutoHyphens w:val="0"/>
        <w:autoSpaceDE w:val="0"/>
        <w:autoSpaceDN w:val="0"/>
        <w:adjustRightInd w:val="0"/>
        <w:spacing w:after="0" w:line="240" w:lineRule="auto"/>
        <w:ind w:right="-2"/>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lastRenderedPageBreak/>
        <w:t xml:space="preserve">- </w:t>
      </w:r>
      <w:r w:rsidRPr="007F3DCF">
        <w:rPr>
          <w:rFonts w:ascii="Times New Roman" w:eastAsiaTheme="minorHAnsi" w:hAnsi="Times New Roman" w:cs="Times New Roman"/>
          <w:sz w:val="20"/>
          <w:szCs w:val="20"/>
          <w:lang w:val="x-none" w:eastAsia="en-US"/>
        </w:rPr>
        <w:t xml:space="preserve">денежных средств путем их перечисления </w:t>
      </w:r>
      <w:r w:rsidRPr="007F3DCF">
        <w:rPr>
          <w:rFonts w:ascii="Times New Roman" w:eastAsiaTheme="minorHAnsi" w:hAnsi="Times New Roman" w:cs="Times New Roman"/>
          <w:sz w:val="20"/>
          <w:szCs w:val="20"/>
          <w:lang w:eastAsia="en-US"/>
        </w:rPr>
        <w:t>Покупателю</w:t>
      </w:r>
      <w:r w:rsidRPr="007F3DCF">
        <w:rPr>
          <w:rFonts w:ascii="Times New Roman" w:eastAsiaTheme="minorHAnsi" w:hAnsi="Times New Roman" w:cs="Times New Roman"/>
          <w:sz w:val="20"/>
          <w:szCs w:val="20"/>
          <w:lang w:val="x-none" w:eastAsia="en-US"/>
        </w:rPr>
        <w:t xml:space="preserve"> (обеспечительный платеж).</w:t>
      </w:r>
    </w:p>
    <w:p w:rsidR="00706138" w:rsidRPr="007F3DCF" w:rsidRDefault="00706138" w:rsidP="00706138">
      <w:pPr>
        <w:tabs>
          <w:tab w:val="left" w:pos="0"/>
        </w:tabs>
        <w:suppressAutoHyphens w:val="0"/>
        <w:autoSpaceDE w:val="0"/>
        <w:autoSpaceDN w:val="0"/>
        <w:adjustRightInd w:val="0"/>
        <w:spacing w:after="0" w:line="240" w:lineRule="auto"/>
        <w:ind w:right="-2"/>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06138" w:rsidRPr="007F3DCF" w:rsidRDefault="00706138" w:rsidP="00706138">
      <w:pPr>
        <w:tabs>
          <w:tab w:val="left" w:pos="0"/>
        </w:tabs>
        <w:suppressAutoHyphens w:val="0"/>
        <w:autoSpaceDE w:val="0"/>
        <w:autoSpaceDN w:val="0"/>
        <w:adjustRightInd w:val="0"/>
        <w:spacing w:after="0" w:line="240" w:lineRule="auto"/>
        <w:ind w:right="-2"/>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.2.Поставщик несет все расходы по получению обеспечения возврата аванса  по Договору.</w:t>
      </w:r>
    </w:p>
    <w:p w:rsidR="00706138" w:rsidRPr="007F3DCF" w:rsidRDefault="00706138" w:rsidP="00706138">
      <w:pPr>
        <w:tabs>
          <w:tab w:val="left" w:pos="0"/>
        </w:tabs>
        <w:suppressAutoHyphens w:val="0"/>
        <w:autoSpaceDE w:val="0"/>
        <w:autoSpaceDN w:val="0"/>
        <w:adjustRightInd w:val="0"/>
        <w:spacing w:after="0" w:line="240" w:lineRule="auto"/>
        <w:ind w:right="-2"/>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06138" w:rsidRPr="007F3DCF" w:rsidRDefault="00706138" w:rsidP="00706138">
      <w:pPr>
        <w:tabs>
          <w:tab w:val="left" w:pos="0"/>
        </w:tabs>
        <w:spacing w:line="240" w:lineRule="auto"/>
        <w:ind w:right="-2"/>
        <w:contextualSpacing/>
        <w:jc w:val="both"/>
        <w:rPr>
          <w:rFonts w:ascii="Times New Roman" w:eastAsiaTheme="minorHAnsi" w:hAnsi="Times New Roman" w:cs="Times New Roman"/>
          <w:sz w:val="20"/>
          <w:szCs w:val="20"/>
          <w:lang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706138" w:rsidRPr="007F3DCF" w:rsidRDefault="00706138" w:rsidP="00706138">
      <w:pPr>
        <w:tabs>
          <w:tab w:val="left" w:pos="0"/>
        </w:tabs>
        <w:spacing w:line="240" w:lineRule="auto"/>
        <w:ind w:right="-2"/>
        <w:contextualSpacing/>
        <w:jc w:val="both"/>
        <w:rPr>
          <w:rFonts w:ascii="Times New Roman" w:eastAsiaTheme="minorHAnsi" w:hAnsi="Times New Roman" w:cs="Times New Roman"/>
          <w:sz w:val="20"/>
          <w:szCs w:val="20"/>
          <w:lang w:eastAsia="en-US"/>
        </w:rPr>
      </w:pPr>
    </w:p>
    <w:p w:rsidR="00706138" w:rsidRPr="007F3DCF" w:rsidRDefault="00706138" w:rsidP="00706138">
      <w:pPr>
        <w:tabs>
          <w:tab w:val="left" w:pos="567"/>
        </w:tabs>
        <w:spacing w:line="240" w:lineRule="auto"/>
        <w:ind w:right="-2" w:firstLine="567"/>
        <w:contextualSpacing/>
        <w:jc w:val="both"/>
        <w:rPr>
          <w:rFonts w:ascii="Times New Roman" w:hAnsi="Times New Roman" w:cs="Times New Roman"/>
          <w:b/>
          <w:sz w:val="20"/>
          <w:szCs w:val="20"/>
          <w:lang w:eastAsia="en-US"/>
        </w:rPr>
      </w:pPr>
      <w:r w:rsidRPr="007F3DCF">
        <w:rPr>
          <w:rFonts w:ascii="Times New Roman" w:hAnsi="Times New Roman" w:cs="Times New Roman"/>
          <w:b/>
          <w:sz w:val="20"/>
          <w:szCs w:val="20"/>
          <w:lang w:eastAsia="en-US"/>
        </w:rPr>
        <w:t>8.Условия о должной осмотрительности:</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06138" w:rsidRPr="007F3DCF" w:rsidRDefault="00706138" w:rsidP="00706138">
      <w:pPr>
        <w:tabs>
          <w:tab w:val="left" w:pos="567"/>
        </w:tabs>
        <w:spacing w:line="240" w:lineRule="auto"/>
        <w:ind w:right="-2" w:firstLine="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706138" w:rsidRPr="007F3DCF" w:rsidRDefault="00706138" w:rsidP="00706138">
      <w:pPr>
        <w:tabs>
          <w:tab w:val="left" w:pos="567"/>
        </w:tabs>
        <w:spacing w:line="240" w:lineRule="auto"/>
        <w:ind w:right="-2" w:firstLine="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Устав;</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06138" w:rsidRPr="007F3DCF" w:rsidRDefault="00706138" w:rsidP="00706138">
      <w:pPr>
        <w:tabs>
          <w:tab w:val="left" w:pos="567"/>
        </w:tabs>
        <w:spacing w:line="240" w:lineRule="auto"/>
        <w:ind w:right="-2"/>
        <w:contextualSpacing/>
        <w:jc w:val="both"/>
        <w:rPr>
          <w:rFonts w:ascii="Times New Roman" w:hAnsi="Times New Roman" w:cs="Times New Roman"/>
          <w:sz w:val="20"/>
          <w:szCs w:val="20"/>
          <w:lang w:eastAsia="en-US"/>
        </w:rPr>
      </w:pPr>
      <w:proofErr w:type="gramStart"/>
      <w:r w:rsidRPr="007F3DCF">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06138" w:rsidRDefault="00706138" w:rsidP="000A4501">
      <w:pPr>
        <w:pStyle w:val="36"/>
        <w:spacing w:before="0" w:line="360" w:lineRule="auto"/>
        <w:rPr>
          <w:rFonts w:ascii="Times New Roman" w:hAnsi="Times New Roman"/>
          <w:szCs w:val="24"/>
        </w:rPr>
      </w:pPr>
    </w:p>
    <w:p w:rsidR="00706138" w:rsidRDefault="00706138" w:rsidP="000A4501">
      <w:pPr>
        <w:pStyle w:val="36"/>
        <w:spacing w:before="0" w:line="360" w:lineRule="auto"/>
        <w:rPr>
          <w:rFonts w:ascii="Times New Roman" w:hAnsi="Times New Roman"/>
          <w:szCs w:val="24"/>
        </w:rPr>
      </w:pPr>
    </w:p>
    <w:p w:rsidR="00706138" w:rsidRDefault="00706138" w:rsidP="000A4501">
      <w:pPr>
        <w:pStyle w:val="36"/>
        <w:spacing w:before="0" w:line="360" w:lineRule="auto"/>
        <w:rPr>
          <w:rFonts w:ascii="Times New Roman" w:hAnsi="Times New Roman"/>
          <w:szCs w:val="24"/>
        </w:rPr>
      </w:pPr>
    </w:p>
    <w:p w:rsidR="00706138" w:rsidRDefault="00706138"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706138">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706138">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706138" w:rsidRDefault="0070613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3CB7"/>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138"/>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15"/>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C400-CBCB-4DBC-990A-08677814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13</Pages>
  <Words>5636</Words>
  <Characters>32127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36</cp:revision>
  <dcterms:created xsi:type="dcterms:W3CDTF">2022-02-18T06:04:00Z</dcterms:created>
  <dcterms:modified xsi:type="dcterms:W3CDTF">2023-01-17T05:32:00Z</dcterms:modified>
</cp:coreProperties>
</file>