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B8957" w14:textId="77777777" w:rsidR="00FC4FA8" w:rsidRPr="00B939E9" w:rsidRDefault="00FC4FA8" w:rsidP="00B939E9">
      <w:pPr>
        <w:spacing w:before="360" w:after="240" w:line="240" w:lineRule="auto"/>
        <w:jc w:val="center"/>
        <w:outlineLvl w:val="2"/>
        <w:rPr>
          <w:rFonts w:ascii="Times New Roman" w:eastAsia="Times New Roman" w:hAnsi="Times New Roman" w:cs="Times New Roman"/>
          <w:b/>
          <w:caps/>
          <w:sz w:val="24"/>
        </w:rPr>
      </w:pPr>
      <w:bookmarkStart w:id="0" w:name="_Toc30774930"/>
      <w:commentRangeStart w:id="1"/>
      <w:r w:rsidRPr="00B939E9">
        <w:rPr>
          <w:rFonts w:ascii="Times New Roman" w:eastAsia="Times New Roman" w:hAnsi="Times New Roman" w:cs="Times New Roman"/>
          <w:b/>
          <w:caps/>
          <w:sz w:val="24"/>
        </w:rPr>
        <w:t>Требования к составу заявки</w:t>
      </w:r>
      <w:commentRangeEnd w:id="1"/>
      <w:r w:rsidR="003D41C5">
        <w:rPr>
          <w:rStyle w:val="ae"/>
        </w:rPr>
        <w:commentReference w:id="1"/>
      </w:r>
    </w:p>
    <w:p w14:paraId="22D0AD8B" w14:textId="77777777" w:rsidR="002B540B" w:rsidRPr="00B53236" w:rsidRDefault="002B540B" w:rsidP="002B540B">
      <w:pPr>
        <w:spacing w:before="360" w:after="240" w:line="240" w:lineRule="auto"/>
        <w:outlineLvl w:val="2"/>
        <w:rPr>
          <w:rFonts w:ascii="Times New Roman" w:eastAsiaTheme="majorEastAsia" w:hAnsi="Times New Roman" w:cs="Times New Roman"/>
          <w:bCs/>
          <w:sz w:val="24"/>
          <w:lang w:val="ru"/>
        </w:rPr>
      </w:pPr>
      <w:r w:rsidRPr="00B53236">
        <w:rPr>
          <w:rFonts w:ascii="Times New Roman" w:eastAsiaTheme="majorEastAsia" w:hAnsi="Times New Roman" w:cs="Times New Roman"/>
          <w:bCs/>
          <w:sz w:val="24"/>
          <w:lang w:val="ru"/>
        </w:rPr>
        <w:t>Заявка на участие в закупке должна включать в себя следующие документы:</w:t>
      </w:r>
      <w:bookmarkEnd w:id="0"/>
    </w:p>
    <w:tbl>
      <w:tblPr>
        <w:tblStyle w:val="20"/>
        <w:tblW w:w="9351" w:type="dxa"/>
        <w:tblLook w:val="04A0" w:firstRow="1" w:lastRow="0" w:firstColumn="1" w:lastColumn="0" w:noHBand="0" w:noVBand="1"/>
      </w:tblPr>
      <w:tblGrid>
        <w:gridCol w:w="1413"/>
        <w:gridCol w:w="7938"/>
      </w:tblGrid>
      <w:tr w:rsidR="002B540B" w:rsidRPr="00B53236" w14:paraId="1614E39E" w14:textId="77777777" w:rsidTr="00627679">
        <w:tc>
          <w:tcPr>
            <w:tcW w:w="1413" w:type="dxa"/>
            <w:vAlign w:val="center"/>
          </w:tcPr>
          <w:p w14:paraId="3A9E664B" w14:textId="77777777" w:rsidR="002B540B" w:rsidRPr="00B53236" w:rsidRDefault="002B540B" w:rsidP="00B43244">
            <w:pPr>
              <w:spacing w:before="60" w:after="60"/>
              <w:jc w:val="center"/>
              <w:rPr>
                <w:rFonts w:eastAsiaTheme="majorEastAsia"/>
                <w:bCs/>
                <w:sz w:val="24"/>
                <w:lang w:val="ru"/>
              </w:rPr>
            </w:pPr>
            <w:r w:rsidRPr="00B53236">
              <w:rPr>
                <w:rFonts w:eastAsiaTheme="majorEastAsia"/>
                <w:bCs/>
                <w:sz w:val="24"/>
                <w:lang w:val="ru"/>
              </w:rPr>
              <w:t>№ п/п</w:t>
            </w:r>
          </w:p>
        </w:tc>
        <w:tc>
          <w:tcPr>
            <w:tcW w:w="7938" w:type="dxa"/>
            <w:vAlign w:val="center"/>
          </w:tcPr>
          <w:p w14:paraId="69C718F2" w14:textId="77777777" w:rsidR="002B540B" w:rsidRPr="00B53236" w:rsidRDefault="002B540B" w:rsidP="00B43244">
            <w:pPr>
              <w:spacing w:before="60" w:after="60"/>
              <w:jc w:val="center"/>
              <w:rPr>
                <w:rFonts w:eastAsiaTheme="majorEastAsia"/>
                <w:bCs/>
                <w:sz w:val="24"/>
                <w:lang w:val="ru"/>
              </w:rPr>
            </w:pPr>
            <w:r w:rsidRPr="00B53236">
              <w:rPr>
                <w:rFonts w:eastAsiaTheme="majorEastAsia"/>
                <w:bCs/>
                <w:sz w:val="24"/>
                <w:lang w:val="ru"/>
              </w:rPr>
              <w:t>Наименование документа</w:t>
            </w:r>
          </w:p>
        </w:tc>
      </w:tr>
      <w:tr w:rsidR="00627679" w:rsidRPr="00B53236" w14:paraId="7EE1642E" w14:textId="77777777" w:rsidTr="00557582">
        <w:trPr>
          <w:trHeight w:val="202"/>
        </w:trPr>
        <w:tc>
          <w:tcPr>
            <w:tcW w:w="9351" w:type="dxa"/>
            <w:gridSpan w:val="2"/>
          </w:tcPr>
          <w:p w14:paraId="3A6CE6DC" w14:textId="77777777" w:rsidR="00627679" w:rsidRPr="00B53236" w:rsidRDefault="00627679" w:rsidP="00627679">
            <w:pPr>
              <w:tabs>
                <w:tab w:val="left" w:pos="1925"/>
              </w:tabs>
              <w:spacing w:after="0"/>
              <w:rPr>
                <w:rFonts w:eastAsiaTheme="majorEastAsia"/>
                <w:b/>
                <w:bCs/>
                <w:sz w:val="24"/>
                <w:lang w:val="ru"/>
              </w:rPr>
            </w:pPr>
            <w:r w:rsidRPr="00B53236">
              <w:rPr>
                <w:rFonts w:eastAsiaTheme="majorEastAsia"/>
                <w:b/>
                <w:bCs/>
                <w:sz w:val="24"/>
                <w:lang w:val="ru"/>
              </w:rPr>
              <w:t>Общая часть:</w:t>
            </w:r>
          </w:p>
        </w:tc>
      </w:tr>
      <w:tr w:rsidR="002B540B" w:rsidRPr="00B53236" w14:paraId="37B6CE3E" w14:textId="77777777" w:rsidTr="00237038">
        <w:trPr>
          <w:trHeight w:val="433"/>
        </w:trPr>
        <w:tc>
          <w:tcPr>
            <w:tcW w:w="1413" w:type="dxa"/>
          </w:tcPr>
          <w:p w14:paraId="27CD25E2" w14:textId="77777777" w:rsidR="002B540B" w:rsidRPr="00627679" w:rsidRDefault="002B540B" w:rsidP="00627679">
            <w:pPr>
              <w:pStyle w:val="ad"/>
              <w:numPr>
                <w:ilvl w:val="0"/>
                <w:numId w:val="7"/>
              </w:numPr>
              <w:suppressAutoHyphens/>
              <w:spacing w:before="120" w:after="0" w:line="240" w:lineRule="auto"/>
              <w:rPr>
                <w:sz w:val="24"/>
              </w:rPr>
            </w:pPr>
            <w:bookmarkStart w:id="2" w:name="_Ref30264133"/>
          </w:p>
        </w:tc>
        <w:bookmarkEnd w:id="2"/>
        <w:tc>
          <w:tcPr>
            <w:tcW w:w="7938" w:type="dxa"/>
          </w:tcPr>
          <w:p w14:paraId="04331B9B" w14:textId="77777777" w:rsidR="00337F85" w:rsidRPr="00566FAC" w:rsidRDefault="00566FAC" w:rsidP="00566FAC">
            <w:pPr>
              <w:spacing w:after="0"/>
              <w:jc w:val="both"/>
              <w:rPr>
                <w:rFonts w:eastAsiaTheme="majorEastAsia"/>
                <w:bCs/>
                <w:sz w:val="24"/>
                <w:lang w:val="ru"/>
              </w:rPr>
            </w:pPr>
            <w:r w:rsidRPr="00566FAC">
              <w:rPr>
                <w:sz w:val="24"/>
              </w:rPr>
              <w:t>Заявка</w:t>
            </w:r>
          </w:p>
        </w:tc>
      </w:tr>
      <w:tr w:rsidR="00627679" w:rsidRPr="00B53236" w14:paraId="365BF2EC" w14:textId="77777777" w:rsidTr="00627679">
        <w:tc>
          <w:tcPr>
            <w:tcW w:w="1413" w:type="dxa"/>
          </w:tcPr>
          <w:p w14:paraId="7B12FE8E" w14:textId="77777777" w:rsidR="00627679" w:rsidRPr="00B53236" w:rsidRDefault="00627679" w:rsidP="00627679">
            <w:pPr>
              <w:pStyle w:val="ad"/>
              <w:numPr>
                <w:ilvl w:val="0"/>
                <w:numId w:val="7"/>
              </w:numPr>
              <w:suppressAutoHyphens/>
              <w:spacing w:before="120" w:after="0" w:line="240" w:lineRule="auto"/>
              <w:rPr>
                <w:sz w:val="24"/>
              </w:rPr>
            </w:pPr>
          </w:p>
        </w:tc>
        <w:tc>
          <w:tcPr>
            <w:tcW w:w="7938" w:type="dxa"/>
          </w:tcPr>
          <w:p w14:paraId="22BC8C38" w14:textId="77777777" w:rsidR="00627679" w:rsidRPr="00B53236" w:rsidRDefault="00627679" w:rsidP="00A22639">
            <w:pPr>
              <w:spacing w:after="0"/>
              <w:jc w:val="both"/>
              <w:rPr>
                <w:sz w:val="24"/>
              </w:rPr>
            </w:pPr>
            <w:r w:rsidRPr="00627679">
              <w:rPr>
                <w:sz w:val="24"/>
              </w:rPr>
              <w:t>Анкета участника закупки</w:t>
            </w:r>
          </w:p>
        </w:tc>
      </w:tr>
      <w:tr w:rsidR="00627679" w:rsidRPr="00B53236" w14:paraId="62F74C45" w14:textId="77777777" w:rsidTr="00627679">
        <w:tc>
          <w:tcPr>
            <w:tcW w:w="1413" w:type="dxa"/>
          </w:tcPr>
          <w:p w14:paraId="00831284" w14:textId="77777777" w:rsidR="00627679" w:rsidRPr="00B53236" w:rsidRDefault="00627679" w:rsidP="00627679">
            <w:pPr>
              <w:pStyle w:val="ad"/>
              <w:numPr>
                <w:ilvl w:val="0"/>
                <w:numId w:val="7"/>
              </w:numPr>
              <w:suppressAutoHyphens/>
              <w:spacing w:before="120" w:after="0" w:line="240" w:lineRule="auto"/>
              <w:rPr>
                <w:sz w:val="24"/>
              </w:rPr>
            </w:pPr>
          </w:p>
        </w:tc>
        <w:tc>
          <w:tcPr>
            <w:tcW w:w="7938" w:type="dxa"/>
          </w:tcPr>
          <w:p w14:paraId="3F6A1012" w14:textId="77777777" w:rsidR="00627679" w:rsidRPr="00627679" w:rsidRDefault="00627679" w:rsidP="00A22639">
            <w:pPr>
              <w:spacing w:after="0"/>
              <w:jc w:val="both"/>
              <w:rPr>
                <w:sz w:val="24"/>
              </w:rPr>
            </w:pPr>
            <w:r w:rsidRPr="00627679">
              <w:rPr>
                <w:sz w:val="24"/>
              </w:rPr>
              <w:t>Гарантийное письмо</w:t>
            </w:r>
          </w:p>
        </w:tc>
      </w:tr>
      <w:tr w:rsidR="006F18EA" w:rsidRPr="00B53236" w14:paraId="581EBF2C" w14:textId="77777777" w:rsidTr="00627679">
        <w:tc>
          <w:tcPr>
            <w:tcW w:w="1413" w:type="dxa"/>
          </w:tcPr>
          <w:p w14:paraId="4435CE2E" w14:textId="77777777" w:rsidR="006F18EA" w:rsidRPr="000908ED" w:rsidRDefault="006F18EA" w:rsidP="006F18EA">
            <w:pPr>
              <w:pStyle w:val="ad"/>
              <w:numPr>
                <w:ilvl w:val="0"/>
                <w:numId w:val="7"/>
              </w:numPr>
              <w:suppressAutoHyphens/>
              <w:spacing w:before="120" w:after="0" w:line="240" w:lineRule="auto"/>
            </w:pPr>
          </w:p>
        </w:tc>
        <w:tc>
          <w:tcPr>
            <w:tcW w:w="7938" w:type="dxa"/>
          </w:tcPr>
          <w:p w14:paraId="5F338FC1" w14:textId="77777777" w:rsidR="006F18EA" w:rsidRPr="000908ED" w:rsidRDefault="006F18EA" w:rsidP="006F18EA">
            <w:pPr>
              <w:spacing w:after="0"/>
              <w:jc w:val="both"/>
            </w:pPr>
            <w:r w:rsidRPr="006F18EA">
              <w:rPr>
                <w:sz w:val="24"/>
              </w:rPr>
              <w:t>Коммерческое предложение</w:t>
            </w:r>
            <w:r w:rsidRPr="000908ED">
              <w:t xml:space="preserve"> </w:t>
            </w:r>
          </w:p>
        </w:tc>
      </w:tr>
      <w:tr w:rsidR="002B540B" w:rsidRPr="00B53236" w14:paraId="021F7933" w14:textId="77777777" w:rsidTr="00627679">
        <w:tc>
          <w:tcPr>
            <w:tcW w:w="1413" w:type="dxa"/>
          </w:tcPr>
          <w:p w14:paraId="2E98CF94" w14:textId="77777777" w:rsidR="002B540B" w:rsidRPr="00B53236" w:rsidRDefault="002B540B" w:rsidP="00627679">
            <w:pPr>
              <w:pStyle w:val="ad"/>
              <w:numPr>
                <w:ilvl w:val="0"/>
                <w:numId w:val="7"/>
              </w:numPr>
              <w:suppressAutoHyphens/>
              <w:spacing w:before="120" w:after="0" w:line="240" w:lineRule="auto"/>
              <w:rPr>
                <w:sz w:val="24"/>
              </w:rPr>
            </w:pPr>
          </w:p>
        </w:tc>
        <w:tc>
          <w:tcPr>
            <w:tcW w:w="7938" w:type="dxa"/>
          </w:tcPr>
          <w:p w14:paraId="37603D61" w14:textId="77777777" w:rsidR="002B540B" w:rsidRPr="006F18EA" w:rsidRDefault="006F18EA" w:rsidP="006F18EA">
            <w:pPr>
              <w:jc w:val="both"/>
              <w:rPr>
                <w:rFonts w:eastAsiaTheme="majorEastAsia"/>
                <w:bCs/>
                <w:sz w:val="24"/>
                <w:lang w:val="ru"/>
              </w:rPr>
            </w:pPr>
            <w:r w:rsidRPr="006F18EA">
              <w:rPr>
                <w:sz w:val="24"/>
              </w:rPr>
              <w:t>Техническое предложение</w:t>
            </w:r>
          </w:p>
        </w:tc>
      </w:tr>
      <w:tr w:rsidR="00627679" w:rsidRPr="00B53236" w14:paraId="2B97BBE4" w14:textId="77777777" w:rsidTr="00627679">
        <w:tc>
          <w:tcPr>
            <w:tcW w:w="1413" w:type="dxa"/>
          </w:tcPr>
          <w:p w14:paraId="0C794D88" w14:textId="77777777" w:rsidR="00627679" w:rsidRPr="00B53236" w:rsidRDefault="00627679" w:rsidP="00627679">
            <w:pPr>
              <w:pStyle w:val="ad"/>
              <w:numPr>
                <w:ilvl w:val="0"/>
                <w:numId w:val="7"/>
              </w:numPr>
              <w:suppressAutoHyphens/>
              <w:spacing w:before="120" w:after="0" w:line="240" w:lineRule="auto"/>
              <w:rPr>
                <w:sz w:val="24"/>
              </w:rPr>
            </w:pPr>
          </w:p>
        </w:tc>
        <w:tc>
          <w:tcPr>
            <w:tcW w:w="7938" w:type="dxa"/>
          </w:tcPr>
          <w:p w14:paraId="24A01022" w14:textId="77777777" w:rsidR="00627679" w:rsidRPr="00566FAC" w:rsidRDefault="00566FAC" w:rsidP="00566FAC">
            <w:pPr>
              <w:jc w:val="both"/>
              <w:rPr>
                <w:sz w:val="24"/>
              </w:rPr>
            </w:pPr>
            <w:r w:rsidRPr="00566FAC">
              <w:rPr>
                <w:sz w:val="24"/>
              </w:rPr>
              <w:t>Календарный график (при необходимости)</w:t>
            </w:r>
          </w:p>
        </w:tc>
      </w:tr>
      <w:tr w:rsidR="00566FAC" w:rsidRPr="00B53236" w14:paraId="429240C6" w14:textId="77777777" w:rsidTr="00627679">
        <w:tc>
          <w:tcPr>
            <w:tcW w:w="1413" w:type="dxa"/>
          </w:tcPr>
          <w:p w14:paraId="770FD25C" w14:textId="77777777" w:rsidR="00566FAC" w:rsidRPr="00B53236" w:rsidRDefault="00566FAC" w:rsidP="00566FAC">
            <w:pPr>
              <w:pStyle w:val="ad"/>
              <w:numPr>
                <w:ilvl w:val="0"/>
                <w:numId w:val="7"/>
              </w:numPr>
              <w:suppressAutoHyphens/>
              <w:spacing w:before="120" w:after="0" w:line="240" w:lineRule="auto"/>
              <w:rPr>
                <w:sz w:val="24"/>
              </w:rPr>
            </w:pPr>
          </w:p>
        </w:tc>
        <w:tc>
          <w:tcPr>
            <w:tcW w:w="7938" w:type="dxa"/>
          </w:tcPr>
          <w:p w14:paraId="35060247" w14:textId="58906E8C" w:rsidR="00566FAC" w:rsidRPr="00566FAC" w:rsidRDefault="00566FAC" w:rsidP="00566FAC">
            <w:pPr>
              <w:jc w:val="both"/>
              <w:rPr>
                <w:sz w:val="24"/>
              </w:rPr>
            </w:pPr>
            <w:r w:rsidRPr="00566FAC">
              <w:rPr>
                <w:sz w:val="24"/>
              </w:rPr>
              <w:t>Протокол разногласий по проекту договора (при необходимости, если допускается)</w:t>
            </w:r>
            <w:r w:rsidR="003202BE">
              <w:rPr>
                <w:sz w:val="24"/>
              </w:rPr>
              <w:t xml:space="preserve"> / предлагаемый Участником проект договора</w:t>
            </w:r>
          </w:p>
        </w:tc>
      </w:tr>
      <w:tr w:rsidR="00566FAC" w:rsidRPr="00B53236" w14:paraId="63631A93" w14:textId="77777777" w:rsidTr="00627679">
        <w:tc>
          <w:tcPr>
            <w:tcW w:w="1413" w:type="dxa"/>
          </w:tcPr>
          <w:p w14:paraId="7FCBC3BE" w14:textId="77777777" w:rsidR="00566FAC" w:rsidRPr="00B53236" w:rsidRDefault="00566FAC" w:rsidP="00566FAC">
            <w:pPr>
              <w:pStyle w:val="ad"/>
              <w:numPr>
                <w:ilvl w:val="0"/>
                <w:numId w:val="7"/>
              </w:numPr>
              <w:suppressAutoHyphens/>
              <w:spacing w:before="120" w:after="0" w:line="240" w:lineRule="auto"/>
              <w:rPr>
                <w:sz w:val="24"/>
              </w:rPr>
            </w:pPr>
          </w:p>
        </w:tc>
        <w:tc>
          <w:tcPr>
            <w:tcW w:w="7938" w:type="dxa"/>
          </w:tcPr>
          <w:p w14:paraId="47214BBB" w14:textId="77777777" w:rsidR="00566FAC" w:rsidRPr="00566FAC" w:rsidRDefault="00566FAC" w:rsidP="00566FAC">
            <w:pPr>
              <w:jc w:val="both"/>
              <w:rPr>
                <w:sz w:val="24"/>
              </w:rPr>
            </w:pPr>
            <w:r w:rsidRPr="00566FAC">
              <w:rPr>
                <w:sz w:val="24"/>
              </w:rPr>
              <w:t>Копии документов, подтверждающих соответствие продукции требованиям законодательства</w:t>
            </w:r>
            <w:r w:rsidR="00C508C1">
              <w:rPr>
                <w:sz w:val="24"/>
              </w:rPr>
              <w:t xml:space="preserve"> (если применимо)</w:t>
            </w:r>
          </w:p>
        </w:tc>
      </w:tr>
      <w:tr w:rsidR="00627679" w:rsidRPr="00B53236" w14:paraId="23A7FA30" w14:textId="77777777" w:rsidTr="00627679">
        <w:tc>
          <w:tcPr>
            <w:tcW w:w="1413" w:type="dxa"/>
          </w:tcPr>
          <w:p w14:paraId="6BFF6AD7" w14:textId="77777777" w:rsidR="00627679" w:rsidRPr="00B53236" w:rsidRDefault="00627679" w:rsidP="00627679">
            <w:pPr>
              <w:pStyle w:val="ad"/>
              <w:numPr>
                <w:ilvl w:val="0"/>
                <w:numId w:val="7"/>
              </w:numPr>
              <w:suppressAutoHyphens/>
              <w:spacing w:before="120" w:after="0" w:line="240" w:lineRule="auto"/>
              <w:rPr>
                <w:sz w:val="24"/>
              </w:rPr>
            </w:pPr>
          </w:p>
        </w:tc>
        <w:tc>
          <w:tcPr>
            <w:tcW w:w="7938" w:type="dxa"/>
          </w:tcPr>
          <w:p w14:paraId="40B2BA75" w14:textId="77777777" w:rsidR="00627679" w:rsidRPr="00566FAC" w:rsidRDefault="00627679" w:rsidP="001C44D3">
            <w:pPr>
              <w:jc w:val="both"/>
              <w:rPr>
                <w:sz w:val="24"/>
              </w:rPr>
            </w:pPr>
            <w:r w:rsidRPr="00B53236">
              <w:rPr>
                <w:sz w:val="24"/>
              </w:rPr>
              <w:t>Копии документов, подтверждающих соответствие участника процедуры закупки</w:t>
            </w:r>
            <w:r>
              <w:rPr>
                <w:sz w:val="24"/>
              </w:rPr>
              <w:t xml:space="preserve"> </w:t>
            </w:r>
            <w:r w:rsidR="001C44D3">
              <w:rPr>
                <w:sz w:val="24"/>
              </w:rPr>
              <w:t>обязательным</w:t>
            </w:r>
            <w:r>
              <w:rPr>
                <w:sz w:val="24"/>
              </w:rPr>
              <w:t xml:space="preserve"> требованиям, а именно:</w:t>
            </w:r>
          </w:p>
        </w:tc>
      </w:tr>
      <w:tr w:rsidR="002B540B" w:rsidRPr="00B53236" w14:paraId="45223136" w14:textId="77777777" w:rsidTr="00627679">
        <w:tc>
          <w:tcPr>
            <w:tcW w:w="1413" w:type="dxa"/>
          </w:tcPr>
          <w:p w14:paraId="7E35DB8D" w14:textId="77777777" w:rsidR="002B540B" w:rsidRPr="00B53236" w:rsidRDefault="002B540B" w:rsidP="00627679">
            <w:pPr>
              <w:pStyle w:val="ad"/>
              <w:numPr>
                <w:ilvl w:val="1"/>
                <w:numId w:val="7"/>
              </w:numPr>
              <w:suppressAutoHyphens/>
              <w:spacing w:before="120" w:after="0" w:line="240" w:lineRule="auto"/>
              <w:rPr>
                <w:sz w:val="24"/>
              </w:rPr>
            </w:pPr>
            <w:bookmarkStart w:id="3" w:name="_Ref503645170"/>
          </w:p>
        </w:tc>
        <w:bookmarkEnd w:id="3"/>
        <w:tc>
          <w:tcPr>
            <w:tcW w:w="7938" w:type="dxa"/>
          </w:tcPr>
          <w:p w14:paraId="7334A170" w14:textId="77777777" w:rsidR="002B540B" w:rsidRPr="00B53236" w:rsidRDefault="002B540B" w:rsidP="00B43244">
            <w:pPr>
              <w:jc w:val="both"/>
              <w:rPr>
                <w:sz w:val="24"/>
              </w:rPr>
            </w:pPr>
            <w:r w:rsidRPr="00B53236">
              <w:rPr>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B540B" w:rsidRPr="00B53236" w14:paraId="215EAAFC" w14:textId="77777777" w:rsidTr="00627679">
        <w:tc>
          <w:tcPr>
            <w:tcW w:w="1413" w:type="dxa"/>
          </w:tcPr>
          <w:p w14:paraId="4BC6B145" w14:textId="77777777" w:rsidR="002B540B" w:rsidRPr="00B53236" w:rsidRDefault="002B540B" w:rsidP="00627679">
            <w:pPr>
              <w:pStyle w:val="ad"/>
              <w:numPr>
                <w:ilvl w:val="1"/>
                <w:numId w:val="7"/>
              </w:numPr>
              <w:suppressAutoHyphens/>
              <w:spacing w:before="120" w:after="0" w:line="240" w:lineRule="auto"/>
              <w:rPr>
                <w:sz w:val="24"/>
              </w:rPr>
            </w:pPr>
            <w:bookmarkStart w:id="4" w:name="_Ref30264100"/>
          </w:p>
        </w:tc>
        <w:bookmarkEnd w:id="4"/>
        <w:tc>
          <w:tcPr>
            <w:tcW w:w="7938" w:type="dxa"/>
          </w:tcPr>
          <w:p w14:paraId="208B76F0" w14:textId="77777777" w:rsidR="002B540B" w:rsidRPr="00B53236" w:rsidRDefault="002B540B" w:rsidP="00B43244">
            <w:pPr>
              <w:jc w:val="both"/>
              <w:rPr>
                <w:rFonts w:eastAsiaTheme="majorEastAsia"/>
                <w:bCs/>
                <w:sz w:val="24"/>
                <w:lang w:val="ru"/>
              </w:rPr>
            </w:pPr>
            <w:r w:rsidRPr="00B53236">
              <w:rPr>
                <w:sz w:val="24"/>
              </w:rPr>
              <w:t xml:space="preserve">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w:t>
            </w:r>
            <w:r w:rsidRPr="00B53236">
              <w:rPr>
                <w:sz w:val="24"/>
              </w:rPr>
              <w:lastRenderedPageBreak/>
              <w:t>заявка должна содержать также копию документа, подтверждающего полномочия такого лица);</w:t>
            </w:r>
          </w:p>
        </w:tc>
      </w:tr>
      <w:tr w:rsidR="00881A49" w:rsidRPr="00B53236" w14:paraId="5A7033C9" w14:textId="77777777" w:rsidTr="00627679">
        <w:tc>
          <w:tcPr>
            <w:tcW w:w="1413" w:type="dxa"/>
          </w:tcPr>
          <w:p w14:paraId="47D23833" w14:textId="77777777" w:rsidR="00881A49" w:rsidRPr="00B53236" w:rsidRDefault="00881A49" w:rsidP="00627679">
            <w:pPr>
              <w:pStyle w:val="ad"/>
              <w:numPr>
                <w:ilvl w:val="1"/>
                <w:numId w:val="7"/>
              </w:numPr>
              <w:suppressAutoHyphens/>
              <w:spacing w:before="120" w:after="0" w:line="240" w:lineRule="auto"/>
              <w:rPr>
                <w:sz w:val="24"/>
              </w:rPr>
            </w:pPr>
          </w:p>
        </w:tc>
        <w:tc>
          <w:tcPr>
            <w:tcW w:w="7938" w:type="dxa"/>
          </w:tcPr>
          <w:p w14:paraId="66C2CE46" w14:textId="77777777" w:rsidR="00881A49" w:rsidRPr="00B53236" w:rsidRDefault="00881A49" w:rsidP="00881A49">
            <w:pPr>
              <w:jc w:val="both"/>
              <w:rPr>
                <w:sz w:val="24"/>
              </w:rPr>
            </w:pPr>
            <w:r>
              <w:rPr>
                <w:sz w:val="24"/>
              </w:rPr>
              <w:t>К</w:t>
            </w:r>
            <w:r w:rsidRPr="00881A49">
              <w:rPr>
                <w:sz w:val="24"/>
              </w:rPr>
              <w:t>опи</w:t>
            </w:r>
            <w:r>
              <w:rPr>
                <w:sz w:val="24"/>
              </w:rPr>
              <w:t>и учредительных документов</w:t>
            </w:r>
            <w:r w:rsidRPr="00881A49">
              <w:rPr>
                <w:sz w:val="24"/>
              </w:rPr>
              <w:t xml:space="preserve"> в действующей редакции</w:t>
            </w:r>
          </w:p>
        </w:tc>
      </w:tr>
      <w:tr w:rsidR="00881A49" w:rsidRPr="00B53236" w14:paraId="688A4796" w14:textId="77777777" w:rsidTr="00627679">
        <w:tc>
          <w:tcPr>
            <w:tcW w:w="1413" w:type="dxa"/>
          </w:tcPr>
          <w:p w14:paraId="1D7F967D" w14:textId="77777777" w:rsidR="00881A49" w:rsidRPr="00B53236" w:rsidRDefault="00881A49" w:rsidP="00627679">
            <w:pPr>
              <w:pStyle w:val="ad"/>
              <w:numPr>
                <w:ilvl w:val="1"/>
                <w:numId w:val="7"/>
              </w:numPr>
              <w:suppressAutoHyphens/>
              <w:spacing w:before="120" w:after="0" w:line="240" w:lineRule="auto"/>
              <w:rPr>
                <w:sz w:val="24"/>
              </w:rPr>
            </w:pPr>
          </w:p>
        </w:tc>
        <w:tc>
          <w:tcPr>
            <w:tcW w:w="7938" w:type="dxa"/>
          </w:tcPr>
          <w:p w14:paraId="42BD058A" w14:textId="77777777" w:rsidR="00881A49" w:rsidRPr="00B53236" w:rsidRDefault="00881A49" w:rsidP="00B43244">
            <w:pPr>
              <w:jc w:val="both"/>
              <w:rPr>
                <w:sz w:val="24"/>
              </w:rPr>
            </w:pPr>
            <w:r>
              <w:rPr>
                <w:sz w:val="24"/>
              </w:rPr>
              <w:t>К</w:t>
            </w:r>
            <w:r w:rsidRPr="00881A49">
              <w:rPr>
                <w:sz w:val="24"/>
              </w:rPr>
              <w:t>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Участник обладает лицензией;</w:t>
            </w:r>
          </w:p>
        </w:tc>
      </w:tr>
      <w:tr w:rsidR="006B49F9" w:rsidRPr="00B53236" w14:paraId="7A75D16B" w14:textId="77777777" w:rsidTr="00627679">
        <w:tc>
          <w:tcPr>
            <w:tcW w:w="1413" w:type="dxa"/>
          </w:tcPr>
          <w:p w14:paraId="1BE93823" w14:textId="77777777" w:rsidR="006B49F9" w:rsidRPr="00B53236" w:rsidRDefault="006B49F9" w:rsidP="00627679">
            <w:pPr>
              <w:pStyle w:val="ad"/>
              <w:numPr>
                <w:ilvl w:val="1"/>
                <w:numId w:val="7"/>
              </w:numPr>
              <w:suppressAutoHyphens/>
              <w:spacing w:before="120" w:after="0" w:line="240" w:lineRule="auto"/>
              <w:rPr>
                <w:sz w:val="24"/>
              </w:rPr>
            </w:pPr>
          </w:p>
        </w:tc>
        <w:tc>
          <w:tcPr>
            <w:tcW w:w="7938" w:type="dxa"/>
          </w:tcPr>
          <w:p w14:paraId="5D1B46BE" w14:textId="77777777" w:rsidR="006B49F9" w:rsidRDefault="006B49F9" w:rsidP="006B49F9">
            <w:pPr>
              <w:jc w:val="both"/>
              <w:rPr>
                <w:sz w:val="24"/>
              </w:rPr>
            </w:pPr>
            <w:r w:rsidRPr="006B49F9">
              <w:rPr>
                <w:sz w:val="24"/>
              </w:rPr>
              <w:t>копия свидетельства о постановке на налоговый учет, заверенных нотариально или удостоверенных подписью руководителя и печатью организации;</w:t>
            </w:r>
          </w:p>
        </w:tc>
      </w:tr>
      <w:tr w:rsidR="006B49F9" w:rsidRPr="00B53236" w14:paraId="6431C499" w14:textId="77777777" w:rsidTr="00627679">
        <w:tc>
          <w:tcPr>
            <w:tcW w:w="1413" w:type="dxa"/>
          </w:tcPr>
          <w:p w14:paraId="14EFF361" w14:textId="77777777" w:rsidR="006B49F9" w:rsidRPr="00B53236" w:rsidRDefault="006B49F9" w:rsidP="00627679">
            <w:pPr>
              <w:pStyle w:val="ad"/>
              <w:numPr>
                <w:ilvl w:val="1"/>
                <w:numId w:val="7"/>
              </w:numPr>
              <w:suppressAutoHyphens/>
              <w:spacing w:before="120" w:after="0" w:line="240" w:lineRule="auto"/>
              <w:rPr>
                <w:sz w:val="24"/>
              </w:rPr>
            </w:pPr>
          </w:p>
        </w:tc>
        <w:tc>
          <w:tcPr>
            <w:tcW w:w="7938" w:type="dxa"/>
          </w:tcPr>
          <w:p w14:paraId="54588D4E" w14:textId="77777777" w:rsidR="006B49F9" w:rsidRPr="006B49F9" w:rsidRDefault="006B49F9" w:rsidP="006B49F9">
            <w:pPr>
              <w:jc w:val="both"/>
              <w:rPr>
                <w:sz w:val="24"/>
              </w:rPr>
            </w:pPr>
            <w:r w:rsidRPr="006B49F9">
              <w:rPr>
                <w:sz w:val="24"/>
              </w:rPr>
              <w:t>копия бухгалтерского баланса (с приложением отчета о прибылях и убытках) на последнюю отчетную дату, заверенную подписью руководителя и печатью организации, с отметкой налогового органа (для проверки активов общества и подтверждения сдачи отчетности), либо справка из налоговых органов об отсутствии задолженностей по налогам и сборам (допускается при оплате услуг по факту их оказания). Если контрагент размещает бухгалтерскую информацию в открытых источниках, то достаточно представить ссылку на этот источник</w:t>
            </w:r>
          </w:p>
        </w:tc>
      </w:tr>
      <w:tr w:rsidR="006B49F9" w:rsidRPr="00B53236" w14:paraId="64622754" w14:textId="77777777" w:rsidTr="00627679">
        <w:tc>
          <w:tcPr>
            <w:tcW w:w="1413" w:type="dxa"/>
          </w:tcPr>
          <w:p w14:paraId="6450048F" w14:textId="77777777" w:rsidR="006B49F9" w:rsidRPr="00B53236" w:rsidRDefault="006B49F9" w:rsidP="00627679">
            <w:pPr>
              <w:pStyle w:val="ad"/>
              <w:numPr>
                <w:ilvl w:val="1"/>
                <w:numId w:val="7"/>
              </w:numPr>
              <w:suppressAutoHyphens/>
              <w:spacing w:before="120" w:after="0" w:line="240" w:lineRule="auto"/>
              <w:rPr>
                <w:sz w:val="24"/>
              </w:rPr>
            </w:pPr>
          </w:p>
        </w:tc>
        <w:tc>
          <w:tcPr>
            <w:tcW w:w="7938" w:type="dxa"/>
          </w:tcPr>
          <w:p w14:paraId="6CCBE020" w14:textId="77777777" w:rsidR="006B49F9" w:rsidRPr="006B49F9" w:rsidRDefault="006B49F9" w:rsidP="006B49F9">
            <w:pPr>
              <w:jc w:val="both"/>
              <w:rPr>
                <w:sz w:val="24"/>
              </w:rPr>
            </w:pPr>
            <w:r w:rsidRPr="006B49F9">
              <w:rPr>
                <w:sz w:val="24"/>
              </w:rPr>
              <w:t>документы, подтверждающие возможность контрагента выполнить договорные работы (если это ж/д-, автоперевозка или предоставление железнодорожного подвижного состава -  правоустанавливающие документы на подвижной состав, если строительство -  наличие соответствующей техники, квалифицированного персонала и т.п.), а также письмо-пояснение о правовых основаниях выполнения работ полностью или частично не контрагентом, а силами третьих лиц (если применимо)</w:t>
            </w:r>
          </w:p>
        </w:tc>
      </w:tr>
      <w:tr w:rsidR="00384A14" w:rsidRPr="00B53236" w14:paraId="36755477" w14:textId="77777777" w:rsidTr="00627679">
        <w:tc>
          <w:tcPr>
            <w:tcW w:w="1413" w:type="dxa"/>
          </w:tcPr>
          <w:p w14:paraId="248BBD86" w14:textId="77777777" w:rsidR="00384A14" w:rsidRPr="00B53236" w:rsidRDefault="00384A14" w:rsidP="00627679">
            <w:pPr>
              <w:pStyle w:val="ad"/>
              <w:numPr>
                <w:ilvl w:val="1"/>
                <w:numId w:val="7"/>
              </w:numPr>
              <w:suppressAutoHyphens/>
              <w:spacing w:before="120" w:after="0" w:line="240" w:lineRule="auto"/>
              <w:rPr>
                <w:sz w:val="24"/>
              </w:rPr>
            </w:pPr>
          </w:p>
        </w:tc>
        <w:tc>
          <w:tcPr>
            <w:tcW w:w="7938" w:type="dxa"/>
          </w:tcPr>
          <w:p w14:paraId="1FF288C3" w14:textId="77777777" w:rsidR="00384A14" w:rsidRPr="006B49F9" w:rsidRDefault="00384A14" w:rsidP="00384A14">
            <w:pPr>
              <w:jc w:val="both"/>
              <w:rPr>
                <w:sz w:val="24"/>
              </w:rPr>
            </w:pPr>
            <w:r>
              <w:rPr>
                <w:sz w:val="24"/>
              </w:rPr>
              <w:t>С</w:t>
            </w:r>
            <w:r w:rsidRPr="00384A14">
              <w:rPr>
                <w:sz w:val="24"/>
              </w:rPr>
              <w:t>правка об опыте работы (аналогичные работы, выполненные в последнее время на других объектах)</w:t>
            </w:r>
          </w:p>
        </w:tc>
      </w:tr>
      <w:tr w:rsidR="00384A14" w:rsidRPr="00B53236" w14:paraId="61B2C996" w14:textId="77777777" w:rsidTr="00627679">
        <w:tc>
          <w:tcPr>
            <w:tcW w:w="1413" w:type="dxa"/>
          </w:tcPr>
          <w:p w14:paraId="4E3638D7" w14:textId="77777777" w:rsidR="00384A14" w:rsidRPr="00B53236" w:rsidRDefault="00384A14" w:rsidP="00627679">
            <w:pPr>
              <w:pStyle w:val="ad"/>
              <w:numPr>
                <w:ilvl w:val="1"/>
                <w:numId w:val="7"/>
              </w:numPr>
              <w:suppressAutoHyphens/>
              <w:spacing w:before="120" w:after="0" w:line="240" w:lineRule="auto"/>
              <w:rPr>
                <w:sz w:val="24"/>
              </w:rPr>
            </w:pPr>
          </w:p>
        </w:tc>
        <w:tc>
          <w:tcPr>
            <w:tcW w:w="7938" w:type="dxa"/>
          </w:tcPr>
          <w:p w14:paraId="112F6142" w14:textId="77777777" w:rsidR="00384A14" w:rsidRDefault="00384A14" w:rsidP="00384A14">
            <w:pPr>
              <w:jc w:val="both"/>
              <w:rPr>
                <w:sz w:val="24"/>
              </w:rPr>
            </w:pPr>
            <w:r>
              <w:rPr>
                <w:sz w:val="24"/>
              </w:rPr>
              <w:t>С</w:t>
            </w:r>
            <w:r w:rsidRPr="00384A14">
              <w:rPr>
                <w:sz w:val="24"/>
              </w:rPr>
              <w:t>ведения о среднесписочной численности работников за предшествующий календарный год (КНД 1110018), по форме утвержденной Приказом ФНС России от 29.03.2007 N ММ-3-25/174@, или Справку, заверенную организацией о среднесписочной численности работников в текущем году (в произвольной форме)</w:t>
            </w:r>
          </w:p>
        </w:tc>
      </w:tr>
      <w:tr w:rsidR="00384A14" w:rsidRPr="00B53236" w14:paraId="22089477" w14:textId="77777777" w:rsidTr="00627679">
        <w:tc>
          <w:tcPr>
            <w:tcW w:w="1413" w:type="dxa"/>
          </w:tcPr>
          <w:p w14:paraId="22EC6A91" w14:textId="77777777" w:rsidR="00384A14" w:rsidRPr="00B53236" w:rsidRDefault="00384A14" w:rsidP="00627679">
            <w:pPr>
              <w:pStyle w:val="ad"/>
              <w:numPr>
                <w:ilvl w:val="1"/>
                <w:numId w:val="7"/>
              </w:numPr>
              <w:suppressAutoHyphens/>
              <w:spacing w:before="120" w:after="0" w:line="240" w:lineRule="auto"/>
              <w:rPr>
                <w:sz w:val="24"/>
              </w:rPr>
            </w:pPr>
          </w:p>
        </w:tc>
        <w:tc>
          <w:tcPr>
            <w:tcW w:w="7938" w:type="dxa"/>
          </w:tcPr>
          <w:p w14:paraId="62C105CE" w14:textId="77777777" w:rsidR="00384A14" w:rsidRDefault="00384A14" w:rsidP="00384A14">
            <w:pPr>
              <w:jc w:val="both"/>
              <w:rPr>
                <w:sz w:val="24"/>
              </w:rPr>
            </w:pPr>
            <w:r w:rsidRPr="003D41C5">
              <w:rPr>
                <w:sz w:val="24"/>
                <w:highlight w:val="yellow"/>
              </w:rPr>
              <w:t xml:space="preserve">Документ, подтверждающий специальную правоспособность и необходимый для осуществления видов деятельности, предусмотренных договором (в </w:t>
            </w:r>
            <w:proofErr w:type="spellStart"/>
            <w:r w:rsidRPr="003D41C5">
              <w:rPr>
                <w:sz w:val="24"/>
                <w:highlight w:val="yellow"/>
              </w:rPr>
              <w:t>т.ч</w:t>
            </w:r>
            <w:proofErr w:type="spellEnd"/>
            <w:r w:rsidRPr="003D41C5">
              <w:rPr>
                <w:sz w:val="24"/>
                <w:highlight w:val="yellow"/>
              </w:rPr>
              <w:t>. копия лицензии, сертификата, выписки из реестра СРО или специального разрешения (на услуги, работу или продукцию)</w:t>
            </w:r>
          </w:p>
        </w:tc>
      </w:tr>
      <w:tr w:rsidR="001C44D3" w:rsidRPr="00B53236" w14:paraId="1C6B312E" w14:textId="77777777" w:rsidTr="00627679">
        <w:tc>
          <w:tcPr>
            <w:tcW w:w="1413" w:type="dxa"/>
          </w:tcPr>
          <w:p w14:paraId="3E3470E6" w14:textId="77777777" w:rsidR="001C44D3" w:rsidRPr="00B53236" w:rsidRDefault="001C44D3" w:rsidP="001C44D3">
            <w:pPr>
              <w:pStyle w:val="ad"/>
              <w:numPr>
                <w:ilvl w:val="0"/>
                <w:numId w:val="7"/>
              </w:numPr>
              <w:suppressAutoHyphens/>
              <w:spacing w:before="120" w:after="0" w:line="240" w:lineRule="auto"/>
              <w:rPr>
                <w:sz w:val="24"/>
              </w:rPr>
            </w:pPr>
          </w:p>
        </w:tc>
        <w:tc>
          <w:tcPr>
            <w:tcW w:w="7938" w:type="dxa"/>
          </w:tcPr>
          <w:p w14:paraId="7CDBEEF5" w14:textId="77777777" w:rsidR="001C44D3" w:rsidRPr="00B53236" w:rsidRDefault="001C44D3" w:rsidP="001C44D3">
            <w:pPr>
              <w:jc w:val="both"/>
              <w:rPr>
                <w:rFonts w:eastAsiaTheme="majorEastAsia"/>
                <w:bCs/>
                <w:sz w:val="24"/>
                <w:lang w:val="ru"/>
              </w:rPr>
            </w:pPr>
            <w:commentRangeStart w:id="5"/>
            <w:r w:rsidRPr="00B53236">
              <w:rPr>
                <w:sz w:val="24"/>
              </w:rPr>
              <w:t>Копии документов, подтверждающих соответствие участника процедуры закупки</w:t>
            </w:r>
            <w:r>
              <w:rPr>
                <w:sz w:val="24"/>
              </w:rPr>
              <w:t xml:space="preserve"> дополнительным требованиям, а именно:</w:t>
            </w:r>
            <w:commentRangeEnd w:id="5"/>
            <w:r w:rsidR="003D41C5">
              <w:rPr>
                <w:rStyle w:val="ae"/>
                <w:rFonts w:asciiTheme="minorHAnsi" w:hAnsiTheme="minorHAnsi" w:cstheme="minorBidi"/>
              </w:rPr>
              <w:commentReference w:id="5"/>
            </w:r>
          </w:p>
        </w:tc>
      </w:tr>
      <w:tr w:rsidR="001C44D3" w:rsidRPr="00B53236" w14:paraId="0D122063" w14:textId="77777777" w:rsidTr="00627679">
        <w:tc>
          <w:tcPr>
            <w:tcW w:w="1413" w:type="dxa"/>
          </w:tcPr>
          <w:p w14:paraId="574A7512" w14:textId="77777777" w:rsidR="001C44D3" w:rsidRPr="00B53236" w:rsidRDefault="001C44D3" w:rsidP="00627679">
            <w:pPr>
              <w:pStyle w:val="ad"/>
              <w:numPr>
                <w:ilvl w:val="1"/>
                <w:numId w:val="7"/>
              </w:numPr>
              <w:suppressAutoHyphens/>
              <w:spacing w:before="120" w:after="0" w:line="240" w:lineRule="auto"/>
              <w:rPr>
                <w:sz w:val="24"/>
              </w:rPr>
            </w:pPr>
          </w:p>
        </w:tc>
        <w:tc>
          <w:tcPr>
            <w:tcW w:w="7938" w:type="dxa"/>
          </w:tcPr>
          <w:p w14:paraId="5E7A18B1" w14:textId="77777777" w:rsidR="001C44D3" w:rsidRPr="003D41C5" w:rsidRDefault="003D41C5" w:rsidP="00B43244">
            <w:pPr>
              <w:jc w:val="both"/>
              <w:rPr>
                <w:sz w:val="24"/>
                <w:highlight w:val="yellow"/>
              </w:rPr>
            </w:pPr>
            <w:r w:rsidRPr="003D41C5">
              <w:rPr>
                <w:sz w:val="24"/>
                <w:highlight w:val="yellow"/>
              </w:rPr>
              <w:t>Справка о материально-технических ресурсах, включая обязательные приложения к ней:</w:t>
            </w:r>
          </w:p>
        </w:tc>
      </w:tr>
      <w:tr w:rsidR="003D41C5" w:rsidRPr="00B53236" w14:paraId="636D0AAD" w14:textId="77777777" w:rsidTr="00627679">
        <w:tc>
          <w:tcPr>
            <w:tcW w:w="1413" w:type="dxa"/>
          </w:tcPr>
          <w:p w14:paraId="0B712087" w14:textId="77777777" w:rsidR="003D41C5" w:rsidRPr="00B53236" w:rsidRDefault="003D41C5" w:rsidP="00627679">
            <w:pPr>
              <w:pStyle w:val="ad"/>
              <w:numPr>
                <w:ilvl w:val="1"/>
                <w:numId w:val="7"/>
              </w:numPr>
              <w:suppressAutoHyphens/>
              <w:spacing w:before="120" w:after="0" w:line="240" w:lineRule="auto"/>
              <w:rPr>
                <w:sz w:val="24"/>
              </w:rPr>
            </w:pPr>
            <w:bookmarkStart w:id="6" w:name="_GoBack" w:colFirst="1" w:colLast="1"/>
          </w:p>
        </w:tc>
        <w:tc>
          <w:tcPr>
            <w:tcW w:w="7938" w:type="dxa"/>
          </w:tcPr>
          <w:p w14:paraId="3ADA4A9C" w14:textId="63733D70" w:rsidR="003D41C5" w:rsidRPr="003D41C5" w:rsidRDefault="003D41C5" w:rsidP="009B4B4C">
            <w:pPr>
              <w:pStyle w:val="a"/>
              <w:numPr>
                <w:ilvl w:val="0"/>
                <w:numId w:val="0"/>
              </w:numPr>
              <w:rPr>
                <w:bCs/>
                <w:i/>
                <w:sz w:val="24"/>
                <w:highlight w:val="yellow"/>
              </w:rPr>
            </w:pPr>
            <w:r w:rsidRPr="003D41C5">
              <w:rPr>
                <w:rFonts w:ascii="Times New Roman" w:hAnsi="Times New Roman"/>
                <w:sz w:val="24"/>
                <w:highlight w:val="yellow"/>
              </w:rPr>
              <w:t>Справка</w:t>
            </w:r>
            <w:r w:rsidRPr="003D41C5">
              <w:rPr>
                <w:rFonts w:ascii="Times New Roman" w:hAnsi="Times New Roman"/>
                <w:bCs/>
                <w:sz w:val="24"/>
                <w:highlight w:val="yellow"/>
              </w:rPr>
              <w:t xml:space="preserve"> о наличии опыта, </w:t>
            </w:r>
            <w:r w:rsidRPr="003D41C5">
              <w:rPr>
                <w:rFonts w:ascii="Times New Roman" w:hAnsi="Times New Roman"/>
                <w:sz w:val="24"/>
                <w:highlight w:val="yellow"/>
              </w:rPr>
              <w:t>включая обязательные приложения к ней:</w:t>
            </w:r>
          </w:p>
        </w:tc>
      </w:tr>
      <w:bookmarkEnd w:id="6"/>
      <w:tr w:rsidR="003D41C5" w:rsidRPr="00B53236" w14:paraId="189B91E7" w14:textId="77777777" w:rsidTr="00627679">
        <w:tc>
          <w:tcPr>
            <w:tcW w:w="1413" w:type="dxa"/>
          </w:tcPr>
          <w:p w14:paraId="693F7E0A" w14:textId="77777777" w:rsidR="003D41C5" w:rsidRPr="00B53236" w:rsidRDefault="003D41C5" w:rsidP="00627679">
            <w:pPr>
              <w:pStyle w:val="ad"/>
              <w:numPr>
                <w:ilvl w:val="1"/>
                <w:numId w:val="7"/>
              </w:numPr>
              <w:suppressAutoHyphens/>
              <w:spacing w:before="120" w:after="0" w:line="240" w:lineRule="auto"/>
              <w:rPr>
                <w:sz w:val="24"/>
              </w:rPr>
            </w:pPr>
          </w:p>
        </w:tc>
        <w:tc>
          <w:tcPr>
            <w:tcW w:w="7938" w:type="dxa"/>
          </w:tcPr>
          <w:p w14:paraId="43D334C0" w14:textId="77777777" w:rsidR="003D41C5" w:rsidRPr="003D41C5" w:rsidRDefault="003D41C5" w:rsidP="003D41C5">
            <w:pPr>
              <w:pStyle w:val="a"/>
              <w:numPr>
                <w:ilvl w:val="0"/>
                <w:numId w:val="0"/>
              </w:numPr>
              <w:spacing w:before="0"/>
              <w:rPr>
                <w:bCs/>
                <w:i/>
                <w:sz w:val="24"/>
                <w:highlight w:val="yellow"/>
              </w:rPr>
            </w:pPr>
            <w:r w:rsidRPr="003D41C5">
              <w:rPr>
                <w:rFonts w:ascii="Times New Roman" w:hAnsi="Times New Roman"/>
                <w:bCs/>
                <w:sz w:val="24"/>
                <w:highlight w:val="yellow"/>
              </w:rPr>
              <w:t xml:space="preserve">Справка о </w:t>
            </w:r>
            <w:r w:rsidRPr="003D41C5">
              <w:rPr>
                <w:rFonts w:ascii="Times New Roman" w:hAnsi="Times New Roman"/>
                <w:sz w:val="24"/>
                <w:highlight w:val="yellow"/>
              </w:rPr>
              <w:t>кадровых ресурсах по форме подраздела, включая обязательные приложения к ней:</w:t>
            </w:r>
          </w:p>
        </w:tc>
      </w:tr>
      <w:tr w:rsidR="003D41C5" w:rsidRPr="00B53236" w14:paraId="4F699C47" w14:textId="77777777" w:rsidTr="00627679">
        <w:tc>
          <w:tcPr>
            <w:tcW w:w="1413" w:type="dxa"/>
          </w:tcPr>
          <w:p w14:paraId="233910D4" w14:textId="77777777" w:rsidR="003D41C5" w:rsidRPr="00B53236" w:rsidRDefault="003D41C5" w:rsidP="00627679">
            <w:pPr>
              <w:pStyle w:val="ad"/>
              <w:numPr>
                <w:ilvl w:val="1"/>
                <w:numId w:val="7"/>
              </w:numPr>
              <w:suppressAutoHyphens/>
              <w:spacing w:before="120" w:after="0" w:line="240" w:lineRule="auto"/>
              <w:rPr>
                <w:sz w:val="24"/>
              </w:rPr>
            </w:pPr>
          </w:p>
        </w:tc>
        <w:tc>
          <w:tcPr>
            <w:tcW w:w="7938" w:type="dxa"/>
          </w:tcPr>
          <w:p w14:paraId="5F475A8C" w14:textId="77777777" w:rsidR="003D41C5" w:rsidRPr="00B53236" w:rsidRDefault="003D41C5" w:rsidP="00B43244">
            <w:pPr>
              <w:jc w:val="both"/>
              <w:rPr>
                <w:bCs/>
                <w:i/>
                <w:sz w:val="24"/>
                <w:highlight w:val="yellow"/>
              </w:rPr>
            </w:pPr>
          </w:p>
        </w:tc>
      </w:tr>
      <w:tr w:rsidR="003D41C5" w:rsidRPr="00B53236" w14:paraId="73DBEF7D" w14:textId="77777777" w:rsidTr="00627679">
        <w:tc>
          <w:tcPr>
            <w:tcW w:w="1413" w:type="dxa"/>
          </w:tcPr>
          <w:p w14:paraId="219D2D75" w14:textId="77777777" w:rsidR="003D41C5" w:rsidRPr="00B53236" w:rsidRDefault="003D41C5" w:rsidP="00627679">
            <w:pPr>
              <w:pStyle w:val="ad"/>
              <w:numPr>
                <w:ilvl w:val="1"/>
                <w:numId w:val="7"/>
              </w:numPr>
              <w:suppressAutoHyphens/>
              <w:spacing w:before="120" w:after="0" w:line="240" w:lineRule="auto"/>
              <w:rPr>
                <w:sz w:val="24"/>
              </w:rPr>
            </w:pPr>
          </w:p>
        </w:tc>
        <w:tc>
          <w:tcPr>
            <w:tcW w:w="7938" w:type="dxa"/>
          </w:tcPr>
          <w:p w14:paraId="25E596EE" w14:textId="77777777" w:rsidR="003D41C5" w:rsidRPr="00B53236" w:rsidRDefault="003D41C5" w:rsidP="00B43244">
            <w:pPr>
              <w:jc w:val="both"/>
              <w:rPr>
                <w:bCs/>
                <w:i/>
                <w:sz w:val="24"/>
                <w:highlight w:val="yellow"/>
              </w:rPr>
            </w:pPr>
          </w:p>
        </w:tc>
      </w:tr>
      <w:tr w:rsidR="003D41C5" w:rsidRPr="00B53236" w14:paraId="40ECAC15" w14:textId="77777777" w:rsidTr="00627679">
        <w:tc>
          <w:tcPr>
            <w:tcW w:w="1413" w:type="dxa"/>
          </w:tcPr>
          <w:p w14:paraId="577F961B" w14:textId="77777777" w:rsidR="003D41C5" w:rsidRPr="00B53236" w:rsidRDefault="003D41C5" w:rsidP="00627679">
            <w:pPr>
              <w:pStyle w:val="ad"/>
              <w:numPr>
                <w:ilvl w:val="1"/>
                <w:numId w:val="7"/>
              </w:numPr>
              <w:suppressAutoHyphens/>
              <w:spacing w:before="120" w:after="0" w:line="240" w:lineRule="auto"/>
              <w:rPr>
                <w:sz w:val="24"/>
              </w:rPr>
            </w:pPr>
          </w:p>
        </w:tc>
        <w:tc>
          <w:tcPr>
            <w:tcW w:w="7938" w:type="dxa"/>
          </w:tcPr>
          <w:p w14:paraId="54AE61D9" w14:textId="77777777" w:rsidR="003D41C5" w:rsidRPr="00B53236" w:rsidRDefault="003D41C5" w:rsidP="00B43244">
            <w:pPr>
              <w:jc w:val="both"/>
              <w:rPr>
                <w:bCs/>
                <w:i/>
                <w:sz w:val="24"/>
                <w:highlight w:val="yellow"/>
              </w:rPr>
            </w:pPr>
          </w:p>
        </w:tc>
      </w:tr>
      <w:tr w:rsidR="003724D0" w:rsidRPr="00B53236" w14:paraId="2F94D8F7" w14:textId="77777777" w:rsidTr="00627679">
        <w:tc>
          <w:tcPr>
            <w:tcW w:w="1413" w:type="dxa"/>
          </w:tcPr>
          <w:p w14:paraId="411816CA" w14:textId="31B56F94" w:rsidR="003724D0" w:rsidRPr="003724D0" w:rsidRDefault="003724D0" w:rsidP="003724D0">
            <w:pPr>
              <w:pStyle w:val="ad"/>
              <w:numPr>
                <w:ilvl w:val="0"/>
                <w:numId w:val="7"/>
              </w:numPr>
              <w:suppressAutoHyphens/>
              <w:spacing w:before="120" w:after="0" w:line="240" w:lineRule="auto"/>
              <w:rPr>
                <w:sz w:val="24"/>
              </w:rPr>
            </w:pPr>
          </w:p>
        </w:tc>
        <w:tc>
          <w:tcPr>
            <w:tcW w:w="7938" w:type="dxa"/>
          </w:tcPr>
          <w:p w14:paraId="542F246A" w14:textId="125A360D" w:rsidR="003724D0" w:rsidRPr="00B53236" w:rsidRDefault="003724D0" w:rsidP="003724D0">
            <w:pPr>
              <w:jc w:val="both"/>
              <w:rPr>
                <w:bCs/>
                <w:i/>
                <w:sz w:val="24"/>
                <w:highlight w:val="yellow"/>
              </w:rPr>
            </w:pPr>
            <w:r>
              <w:rPr>
                <w:rFonts w:eastAsiaTheme="majorEastAsia"/>
                <w:b/>
                <w:bCs/>
                <w:sz w:val="24"/>
                <w:lang w:val="ru"/>
              </w:rPr>
              <w:t>Копии документов, предоставляемых</w:t>
            </w:r>
            <w:r w:rsidRPr="00B53236">
              <w:rPr>
                <w:rFonts w:eastAsiaTheme="majorEastAsia"/>
                <w:b/>
                <w:bCs/>
                <w:sz w:val="24"/>
                <w:lang w:val="ru"/>
              </w:rPr>
              <w:t xml:space="preserve"> исключительно для целей оценки и сопоставления заявок </w:t>
            </w:r>
            <w:r w:rsidRPr="00B53236">
              <w:rPr>
                <w:bCs/>
                <w:i/>
                <w:sz w:val="24"/>
                <w:highlight w:val="yellow"/>
              </w:rPr>
              <w:t xml:space="preserve">[заполняется в зависимости от специфики закупаемой продукции на основании </w:t>
            </w:r>
            <w:r>
              <w:rPr>
                <w:bCs/>
                <w:i/>
                <w:sz w:val="24"/>
                <w:highlight w:val="yellow"/>
              </w:rPr>
              <w:t>указанных критериев оценки</w:t>
            </w:r>
            <w:r w:rsidRPr="00B53236">
              <w:rPr>
                <w:bCs/>
                <w:i/>
                <w:sz w:val="24"/>
                <w:highlight w:val="yellow"/>
              </w:rPr>
              <w:t>]</w:t>
            </w:r>
            <w:r w:rsidRPr="00B53236">
              <w:rPr>
                <w:rFonts w:eastAsiaTheme="majorEastAsia"/>
                <w:b/>
                <w:bCs/>
                <w:sz w:val="24"/>
                <w:lang w:val="ru"/>
              </w:rPr>
              <w:t>:</w:t>
            </w:r>
          </w:p>
        </w:tc>
      </w:tr>
      <w:tr w:rsidR="002B540B" w:rsidRPr="00B53236" w14:paraId="251D9FC0" w14:textId="77777777" w:rsidTr="00627679">
        <w:tc>
          <w:tcPr>
            <w:tcW w:w="1413" w:type="dxa"/>
          </w:tcPr>
          <w:p w14:paraId="2577425E" w14:textId="77777777" w:rsidR="003724D0" w:rsidRPr="00B53236" w:rsidRDefault="003724D0" w:rsidP="003724D0">
            <w:pPr>
              <w:pStyle w:val="ad"/>
              <w:numPr>
                <w:ilvl w:val="1"/>
                <w:numId w:val="7"/>
              </w:numPr>
              <w:suppressAutoHyphens/>
              <w:spacing w:before="120" w:after="0" w:line="240" w:lineRule="auto"/>
              <w:rPr>
                <w:sz w:val="24"/>
              </w:rPr>
            </w:pPr>
            <w:bookmarkStart w:id="7" w:name="_Ref2249874"/>
          </w:p>
        </w:tc>
        <w:bookmarkEnd w:id="7"/>
        <w:tc>
          <w:tcPr>
            <w:tcW w:w="7938" w:type="dxa"/>
          </w:tcPr>
          <w:p w14:paraId="6B39D7ED" w14:textId="77777777" w:rsidR="002B540B" w:rsidRPr="00B53236" w:rsidRDefault="002B540B" w:rsidP="00B43244">
            <w:pPr>
              <w:jc w:val="both"/>
              <w:rPr>
                <w:rFonts w:eastAsiaTheme="majorEastAsia"/>
                <w:bCs/>
                <w:sz w:val="24"/>
                <w:lang w:val="ru"/>
              </w:rPr>
            </w:pPr>
            <w:r w:rsidRPr="00B53236">
              <w:rPr>
                <w:sz w:val="24"/>
              </w:rPr>
              <w:t>…</w:t>
            </w:r>
          </w:p>
        </w:tc>
      </w:tr>
    </w:tbl>
    <w:p w14:paraId="7C865DF1" w14:textId="77777777" w:rsidR="002B540B" w:rsidRPr="00B53236" w:rsidRDefault="002B540B" w:rsidP="002B540B">
      <w:pPr>
        <w:rPr>
          <w:rFonts w:ascii="Times New Roman" w:eastAsiaTheme="majorEastAsia" w:hAnsi="Times New Roman" w:cs="Times New Roman"/>
          <w:b/>
          <w:bCs/>
          <w:sz w:val="24"/>
          <w:lang w:val="en-US"/>
        </w:rPr>
      </w:pPr>
    </w:p>
    <w:p w14:paraId="49CED48C" w14:textId="77777777" w:rsidR="00DD5037" w:rsidRDefault="00DD5037"/>
    <w:sectPr w:rsidR="00DD5037">
      <w:headerReference w:type="default" r:id="rId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Грешникова Алина Александровна" w:date="2020-07-20T10:46:00Z" w:initials="ГАА">
    <w:p w14:paraId="731A54D9" w14:textId="77777777" w:rsidR="003D41C5" w:rsidRDefault="003D41C5">
      <w:pPr>
        <w:pStyle w:val="af"/>
      </w:pPr>
      <w:r>
        <w:rPr>
          <w:rStyle w:val="ae"/>
        </w:rPr>
        <w:annotationRef/>
      </w:r>
      <w:r>
        <w:t>Выделенные желтым строки удаляются, если требования не установлены</w:t>
      </w:r>
    </w:p>
  </w:comment>
  <w:comment w:id="5" w:author="Грешникова Алина Александровна" w:date="2020-07-20T10:47:00Z" w:initials="ГАА">
    <w:p w14:paraId="5435EB5D" w14:textId="77777777" w:rsidR="003D41C5" w:rsidRDefault="003D41C5">
      <w:pPr>
        <w:pStyle w:val="af"/>
      </w:pPr>
      <w:r>
        <w:rPr>
          <w:rStyle w:val="ae"/>
        </w:rPr>
        <w:annotationRef/>
      </w:r>
      <w:r w:rsidRPr="003D41C5">
        <w:t>заполняется в зависимости от специфики закупаемой продукции на основании указанных критериев оценки</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1A54D9" w15:done="0"/>
  <w15:commentEx w15:paraId="5435EB5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B3FDF" w14:textId="77777777" w:rsidR="00D326F6" w:rsidRDefault="00D326F6" w:rsidP="00D326F6">
      <w:pPr>
        <w:spacing w:after="0" w:line="240" w:lineRule="auto"/>
      </w:pPr>
      <w:r>
        <w:separator/>
      </w:r>
    </w:p>
  </w:endnote>
  <w:endnote w:type="continuationSeparator" w:id="0">
    <w:p w14:paraId="5228FFCF" w14:textId="77777777" w:rsidR="00D326F6" w:rsidRDefault="00D326F6" w:rsidP="00D3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B5D1C" w14:textId="77777777" w:rsidR="00D326F6" w:rsidRDefault="00D326F6" w:rsidP="00D326F6">
      <w:pPr>
        <w:spacing w:after="0" w:line="240" w:lineRule="auto"/>
      </w:pPr>
      <w:r>
        <w:separator/>
      </w:r>
    </w:p>
  </w:footnote>
  <w:footnote w:type="continuationSeparator" w:id="0">
    <w:p w14:paraId="5E337820" w14:textId="77777777" w:rsidR="00D326F6" w:rsidRDefault="00D326F6" w:rsidP="00D3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F48FB" w14:textId="77777777" w:rsidR="00464FC1" w:rsidRPr="001B0F95" w:rsidRDefault="00464FC1" w:rsidP="00464FC1">
    <w:pPr>
      <w:pStyle w:val="a5"/>
      <w:jc w:val="right"/>
      <w:rPr>
        <w:rFonts w:ascii="Times New Roman" w:hAnsi="Times New Roman" w:cs="Times New Roman"/>
      </w:rPr>
    </w:pPr>
    <w:r>
      <w:rPr>
        <w:rFonts w:ascii="Times New Roman" w:hAnsi="Times New Roman" w:cs="Times New Roman"/>
      </w:rPr>
      <w:t>Приложение № 5</w:t>
    </w:r>
  </w:p>
  <w:p w14:paraId="395F7AC2" w14:textId="77777777" w:rsidR="00D326F6" w:rsidRDefault="00D326F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03315C1"/>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02D9E"/>
    <w:multiLevelType w:val="multilevel"/>
    <w:tmpl w:val="CECE321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решникова Алина Александровна">
    <w15:presenceInfo w15:providerId="AD" w15:userId="S-1-5-21-746137067-562591055-1417001333-646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5B"/>
    <w:rsid w:val="000629F4"/>
    <w:rsid w:val="00091BCD"/>
    <w:rsid w:val="001C44D3"/>
    <w:rsid w:val="00237038"/>
    <w:rsid w:val="002618CA"/>
    <w:rsid w:val="002B540B"/>
    <w:rsid w:val="003202BE"/>
    <w:rsid w:val="00337F85"/>
    <w:rsid w:val="0037012D"/>
    <w:rsid w:val="003724D0"/>
    <w:rsid w:val="00384A14"/>
    <w:rsid w:val="003D41C5"/>
    <w:rsid w:val="00464FC1"/>
    <w:rsid w:val="00566FAC"/>
    <w:rsid w:val="00627679"/>
    <w:rsid w:val="006B49F9"/>
    <w:rsid w:val="006F18EA"/>
    <w:rsid w:val="00881A49"/>
    <w:rsid w:val="009B4B4C"/>
    <w:rsid w:val="00A22639"/>
    <w:rsid w:val="00B939E9"/>
    <w:rsid w:val="00C508C1"/>
    <w:rsid w:val="00D326F6"/>
    <w:rsid w:val="00DD5037"/>
    <w:rsid w:val="00F9545B"/>
    <w:rsid w:val="00FC4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5E00"/>
  <w15:chartTrackingRefBased/>
  <w15:docId w15:val="{C62B09DC-1809-4E5E-BB96-E3E9A0DC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26F6"/>
    <w:pPr>
      <w:spacing w:after="200" w:line="276" w:lineRule="auto"/>
    </w:pPr>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Ростех] Наименование Подраздела (Уровень 3)"/>
    <w:uiPriority w:val="99"/>
    <w:qFormat/>
    <w:rsid w:val="00D326F6"/>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D326F6"/>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4"/>
    <w:uiPriority w:val="99"/>
    <w:qFormat/>
    <w:rsid w:val="00D326F6"/>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D326F6"/>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D326F6"/>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D326F6"/>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D326F6"/>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1"/>
    <w:link w:val="4"/>
    <w:uiPriority w:val="99"/>
    <w:rsid w:val="00D326F6"/>
    <w:rPr>
      <w:rFonts w:ascii="Proxima Nova ExCn Rg" w:eastAsia="Times New Roman" w:hAnsi="Proxima Nova ExCn Rg" w:cs="Times New Roman"/>
      <w:sz w:val="28"/>
      <w:szCs w:val="28"/>
      <w:lang w:eastAsia="ru-RU"/>
    </w:rPr>
  </w:style>
  <w:style w:type="character" w:customStyle="1" w:styleId="a4">
    <w:name w:val="[Ростех] Простой текст (Без уровня) Знак"/>
    <w:basedOn w:val="a1"/>
    <w:link w:val="a"/>
    <w:uiPriority w:val="99"/>
    <w:rsid w:val="00D326F6"/>
    <w:rPr>
      <w:rFonts w:ascii="Proxima Nova ExCn Rg" w:eastAsia="Times New Roman" w:hAnsi="Proxima Nova ExCn Rg" w:cs="Times New Roman"/>
      <w:sz w:val="28"/>
      <w:szCs w:val="28"/>
      <w:lang w:eastAsia="ru-RU"/>
    </w:rPr>
  </w:style>
  <w:style w:type="paragraph" w:styleId="a5">
    <w:name w:val="header"/>
    <w:basedOn w:val="a0"/>
    <w:link w:val="a6"/>
    <w:uiPriority w:val="99"/>
    <w:unhideWhenUsed/>
    <w:rsid w:val="00D326F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D326F6"/>
    <w:rPr>
      <w:rFonts w:eastAsiaTheme="minorEastAsia"/>
      <w:lang w:eastAsia="ru-RU"/>
    </w:rPr>
  </w:style>
  <w:style w:type="paragraph" w:styleId="a7">
    <w:name w:val="footer"/>
    <w:basedOn w:val="a0"/>
    <w:link w:val="a8"/>
    <w:uiPriority w:val="99"/>
    <w:unhideWhenUsed/>
    <w:rsid w:val="00D326F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D326F6"/>
    <w:rPr>
      <w:rFonts w:eastAsiaTheme="minorEastAsia"/>
      <w:lang w:eastAsia="ru-RU"/>
    </w:rPr>
  </w:style>
  <w:style w:type="character" w:styleId="a9">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2B540B"/>
    <w:rPr>
      <w:rFonts w:ascii="Times New Roman" w:hAnsi="Times New Roman"/>
      <w:vertAlign w:val="superscript"/>
    </w:r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b"/>
    <w:qFormat/>
    <w:rsid w:val="002B540B"/>
    <w:pPr>
      <w:spacing w:after="60" w:line="240" w:lineRule="auto"/>
      <w:jc w:val="both"/>
    </w:pPr>
    <w:rPr>
      <w:rFonts w:ascii="Times New Roman" w:eastAsia="Times New Roman" w:hAnsi="Times New Roman" w:cs="Times New Roman"/>
      <w:sz w:val="20"/>
      <w:szCs w:val="20"/>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a"/>
    <w:qFormat/>
    <w:rsid w:val="002B540B"/>
    <w:rPr>
      <w:rFonts w:ascii="Times New Roman" w:eastAsia="Times New Roman" w:hAnsi="Times New Roman" w:cs="Times New Roman"/>
      <w:sz w:val="20"/>
      <w:szCs w:val="20"/>
      <w:lang w:eastAsia="ru-RU"/>
    </w:rPr>
  </w:style>
  <w:style w:type="table" w:customStyle="1" w:styleId="20">
    <w:name w:val="Сетка таблицы2"/>
    <w:basedOn w:val="a2"/>
    <w:next w:val="ac"/>
    <w:uiPriority w:val="59"/>
    <w:rsid w:val="002B54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2"/>
    <w:uiPriority w:val="39"/>
    <w:rsid w:val="002B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627679"/>
    <w:pPr>
      <w:ind w:left="720"/>
      <w:contextualSpacing/>
    </w:pPr>
  </w:style>
  <w:style w:type="character" w:styleId="ae">
    <w:name w:val="annotation reference"/>
    <w:basedOn w:val="a1"/>
    <w:uiPriority w:val="99"/>
    <w:semiHidden/>
    <w:unhideWhenUsed/>
    <w:rsid w:val="003D41C5"/>
    <w:rPr>
      <w:sz w:val="16"/>
      <w:szCs w:val="16"/>
    </w:rPr>
  </w:style>
  <w:style w:type="paragraph" w:styleId="af">
    <w:name w:val="annotation text"/>
    <w:basedOn w:val="a0"/>
    <w:link w:val="af0"/>
    <w:uiPriority w:val="99"/>
    <w:semiHidden/>
    <w:unhideWhenUsed/>
    <w:rsid w:val="003D41C5"/>
    <w:pPr>
      <w:spacing w:line="240" w:lineRule="auto"/>
    </w:pPr>
    <w:rPr>
      <w:sz w:val="20"/>
      <w:szCs w:val="20"/>
    </w:rPr>
  </w:style>
  <w:style w:type="character" w:customStyle="1" w:styleId="af0">
    <w:name w:val="Текст примечания Знак"/>
    <w:basedOn w:val="a1"/>
    <w:link w:val="af"/>
    <w:uiPriority w:val="99"/>
    <w:semiHidden/>
    <w:rsid w:val="003D41C5"/>
    <w:rPr>
      <w:rFonts w:eastAsiaTheme="minorEastAsia"/>
      <w:sz w:val="20"/>
      <w:szCs w:val="20"/>
      <w:lang w:eastAsia="ru-RU"/>
    </w:rPr>
  </w:style>
  <w:style w:type="paragraph" w:styleId="af1">
    <w:name w:val="annotation subject"/>
    <w:basedOn w:val="af"/>
    <w:next w:val="af"/>
    <w:link w:val="af2"/>
    <w:uiPriority w:val="99"/>
    <w:semiHidden/>
    <w:unhideWhenUsed/>
    <w:rsid w:val="003D41C5"/>
    <w:rPr>
      <w:b/>
      <w:bCs/>
    </w:rPr>
  </w:style>
  <w:style w:type="character" w:customStyle="1" w:styleId="af2">
    <w:name w:val="Тема примечания Знак"/>
    <w:basedOn w:val="af0"/>
    <w:link w:val="af1"/>
    <w:uiPriority w:val="99"/>
    <w:semiHidden/>
    <w:rsid w:val="003D41C5"/>
    <w:rPr>
      <w:rFonts w:eastAsiaTheme="minorEastAsia"/>
      <w:b/>
      <w:bCs/>
      <w:sz w:val="20"/>
      <w:szCs w:val="20"/>
      <w:lang w:eastAsia="ru-RU"/>
    </w:rPr>
  </w:style>
  <w:style w:type="paragraph" w:styleId="af3">
    <w:name w:val="Balloon Text"/>
    <w:basedOn w:val="a0"/>
    <w:link w:val="af4"/>
    <w:uiPriority w:val="99"/>
    <w:semiHidden/>
    <w:unhideWhenUsed/>
    <w:rsid w:val="003D41C5"/>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3D41C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Грешникова Алина Александровна</dc:creator>
  <cp:keywords/>
  <dc:description/>
  <cp:lastModifiedBy>Ремизов Виктор Николаевич</cp:lastModifiedBy>
  <cp:revision>26</cp:revision>
  <dcterms:created xsi:type="dcterms:W3CDTF">2020-07-10T09:54:00Z</dcterms:created>
  <dcterms:modified xsi:type="dcterms:W3CDTF">2020-07-20T11:34:00Z</dcterms:modified>
</cp:coreProperties>
</file>