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63355F">
        <w:rPr>
          <w:rFonts w:ascii="Times New Roman" w:eastAsia="Times New Roman" w:hAnsi="Times New Roman"/>
          <w:b/>
          <w:bCs/>
          <w:sz w:val="32"/>
          <w:szCs w:val="32"/>
        </w:rPr>
        <w:t>24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0F1F72">
        <w:rPr>
          <w:rFonts w:ascii="Times New Roman" w:eastAsia="Times New Roman" w:hAnsi="Times New Roman"/>
          <w:b/>
          <w:bCs/>
          <w:sz w:val="32"/>
          <w:szCs w:val="32"/>
        </w:rPr>
        <w:t>6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8F19B9" w:rsidRDefault="00DE7557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DE7557">
              <w:rPr>
                <w:rFonts w:ascii="Times New Roman" w:hAnsi="Times New Roman"/>
                <w:sz w:val="24"/>
                <w:szCs w:val="24"/>
              </w:rPr>
              <w:t>Винтовой компрессор Ремеза ВК150-8 (1 шт.)</w:t>
            </w:r>
            <w:bookmarkStart w:id="0" w:name="_GoBack"/>
            <w:bookmarkEnd w:id="0"/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1769B5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355F">
              <w:rPr>
                <w:rFonts w:ascii="Times New Roman" w:hAnsi="Times New Roman"/>
                <w:sz w:val="24"/>
                <w:szCs w:val="24"/>
              </w:rPr>
              <w:t>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63355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63355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63355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1769B5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355F">
              <w:rPr>
                <w:rFonts w:ascii="Times New Roman" w:hAnsi="Times New Roman"/>
                <w:sz w:val="24"/>
                <w:szCs w:val="24"/>
              </w:rPr>
              <w:t>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615AD"/>
    <w:rsid w:val="00161A16"/>
    <w:rsid w:val="00161D1A"/>
    <w:rsid w:val="001769B5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E41C4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3697B"/>
    <w:rsid w:val="00552178"/>
    <w:rsid w:val="00554079"/>
    <w:rsid w:val="00554DF2"/>
    <w:rsid w:val="0055551A"/>
    <w:rsid w:val="0058321B"/>
    <w:rsid w:val="0058367E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35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84402"/>
    <w:rsid w:val="00693AE8"/>
    <w:rsid w:val="0069480A"/>
    <w:rsid w:val="006A1C22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9B9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5770A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E62C8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B317D"/>
    <w:rsid w:val="00AB3A66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E7557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44DBB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12DAD"/>
    <w:rsid w:val="00F14811"/>
    <w:rsid w:val="00F14E30"/>
    <w:rsid w:val="00F217D5"/>
    <w:rsid w:val="00F21F2B"/>
    <w:rsid w:val="00F237D7"/>
    <w:rsid w:val="00F34ADF"/>
    <w:rsid w:val="00F41369"/>
    <w:rsid w:val="00F56821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E21E-7FF4-4718-96E0-FFA1E09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487</cp:revision>
  <cp:lastPrinted>2023-02-21T08:15:00Z</cp:lastPrinted>
  <dcterms:created xsi:type="dcterms:W3CDTF">2023-01-23T10:34:00Z</dcterms:created>
  <dcterms:modified xsi:type="dcterms:W3CDTF">2024-06-24T09:44:00Z</dcterms:modified>
</cp:coreProperties>
</file>