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3335B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0EDE2878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71197">
              <w:rPr>
                <w:rFonts w:cs="Arial"/>
                <w:b/>
                <w:sz w:val="24"/>
                <w:szCs w:val="24"/>
              </w:rPr>
              <w:t xml:space="preserve"> по закупке смартфонов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6E6376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DB09E2D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A37A8B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bookmarkStart w:id="0" w:name="_GoBack"/>
            <w:bookmarkEnd w:id="0"/>
            <w:r w:rsidRPr="00171197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6519A4F7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0EFE974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2BC30F1F" w:rsidR="00627816" w:rsidRPr="00171197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119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71197" w:rsidRPr="00171197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1D2F93B" w:rsidR="008E6073" w:rsidRPr="00171197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71197" w:rsidRPr="0017119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1E9FAE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084B500E" w:rsidR="008E6073" w:rsidRPr="00171197" w:rsidRDefault="00052BA3" w:rsidP="001711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3E8600" w:rsidR="005C4B30" w:rsidRPr="005C4B30" w:rsidRDefault="00F06049" w:rsidP="001711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4EAD7F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26A494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49105D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46F10B4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63E0D009" w14:textId="280526E8" w:rsidR="00171197" w:rsidRPr="00A83A9E" w:rsidRDefault="00171197" w:rsidP="005A188E">
      <w:pPr>
        <w:rPr>
          <w:b/>
          <w:i/>
          <w:sz w:val="24"/>
          <w:szCs w:val="24"/>
        </w:rPr>
      </w:pPr>
      <w:r w:rsidRPr="00171197">
        <w:rPr>
          <w:b/>
          <w:i/>
          <w:sz w:val="24"/>
          <w:szCs w:val="24"/>
          <w:lang w:val="en-US"/>
        </w:rPr>
        <w:t>Google</w:t>
      </w:r>
      <w:r w:rsidRPr="00A83A9E">
        <w:rPr>
          <w:b/>
          <w:i/>
          <w:sz w:val="24"/>
          <w:szCs w:val="24"/>
        </w:rPr>
        <w:t xml:space="preserve"> </w:t>
      </w:r>
      <w:r w:rsidRPr="00EA6A2E">
        <w:rPr>
          <w:b/>
          <w:i/>
          <w:sz w:val="24"/>
          <w:szCs w:val="24"/>
          <w:lang w:val="en-US"/>
        </w:rPr>
        <w:t>Pixel</w:t>
      </w:r>
      <w:r w:rsidRPr="00A83A9E">
        <w:rPr>
          <w:b/>
          <w:i/>
          <w:sz w:val="24"/>
          <w:szCs w:val="24"/>
        </w:rPr>
        <w:t xml:space="preserve"> 7 </w:t>
      </w:r>
      <w:r w:rsidRPr="00EA6A2E">
        <w:rPr>
          <w:b/>
          <w:i/>
          <w:sz w:val="24"/>
          <w:szCs w:val="24"/>
          <w:lang w:val="en-US"/>
        </w:rPr>
        <w:t>pro</w:t>
      </w:r>
      <w:r w:rsidRPr="00A83A9E">
        <w:rPr>
          <w:b/>
          <w:i/>
          <w:sz w:val="24"/>
          <w:szCs w:val="24"/>
        </w:rPr>
        <w:t xml:space="preserve"> 128</w:t>
      </w:r>
      <w:r>
        <w:rPr>
          <w:b/>
          <w:i/>
          <w:sz w:val="24"/>
          <w:szCs w:val="24"/>
          <w:lang w:val="en-US"/>
        </w:rPr>
        <w:t>GB</w:t>
      </w:r>
      <w:r w:rsidRPr="00A83A9E">
        <w:rPr>
          <w:b/>
          <w:i/>
          <w:sz w:val="24"/>
          <w:szCs w:val="24"/>
        </w:rPr>
        <w:t xml:space="preserve"> – 1 </w:t>
      </w:r>
      <w:r>
        <w:rPr>
          <w:b/>
          <w:i/>
          <w:sz w:val="24"/>
          <w:szCs w:val="24"/>
        </w:rPr>
        <w:t>ед</w:t>
      </w:r>
      <w:r w:rsidRPr="00A83A9E">
        <w:rPr>
          <w:b/>
          <w:i/>
          <w:sz w:val="24"/>
          <w:szCs w:val="24"/>
        </w:rPr>
        <w:t>.</w:t>
      </w:r>
    </w:p>
    <w:p w14:paraId="7074E480" w14:textId="24C2C3C7" w:rsidR="00171197" w:rsidRDefault="00171197" w:rsidP="005A188E">
      <w:pPr>
        <w:rPr>
          <w:b/>
          <w:i/>
          <w:sz w:val="24"/>
          <w:szCs w:val="24"/>
          <w:lang w:val="en-US"/>
        </w:rPr>
      </w:pPr>
      <w:r w:rsidRPr="00EA6A2E">
        <w:rPr>
          <w:b/>
          <w:i/>
          <w:sz w:val="24"/>
          <w:szCs w:val="24"/>
          <w:lang w:val="en-US"/>
        </w:rPr>
        <w:t>Samsung Galaxy A52</w:t>
      </w:r>
      <w:r w:rsidRPr="00171197">
        <w:rPr>
          <w:b/>
          <w:i/>
          <w:sz w:val="24"/>
          <w:szCs w:val="24"/>
          <w:lang w:val="en-US"/>
        </w:rPr>
        <w:t> 128</w:t>
      </w:r>
      <w:r>
        <w:rPr>
          <w:b/>
          <w:i/>
          <w:sz w:val="24"/>
          <w:szCs w:val="24"/>
          <w:lang w:val="en-US"/>
        </w:rPr>
        <w:t xml:space="preserve">GB – </w:t>
      </w:r>
      <w:r w:rsidRPr="00171197">
        <w:rPr>
          <w:b/>
          <w:i/>
          <w:sz w:val="24"/>
          <w:szCs w:val="24"/>
          <w:lang w:val="en-US"/>
        </w:rPr>
        <w:t xml:space="preserve">1 </w:t>
      </w:r>
      <w:proofErr w:type="spellStart"/>
      <w:r>
        <w:rPr>
          <w:b/>
          <w:i/>
          <w:sz w:val="24"/>
          <w:szCs w:val="24"/>
        </w:rPr>
        <w:t>ед</w:t>
      </w:r>
      <w:proofErr w:type="spellEnd"/>
      <w:r w:rsidRPr="00171197">
        <w:rPr>
          <w:b/>
          <w:i/>
          <w:sz w:val="24"/>
          <w:szCs w:val="24"/>
          <w:lang w:val="en-US"/>
        </w:rPr>
        <w:t>.</w:t>
      </w:r>
    </w:p>
    <w:p w14:paraId="5EDD6F80" w14:textId="48B39A4E" w:rsidR="00171197" w:rsidRPr="00A83A9E" w:rsidRDefault="00171197" w:rsidP="005A188E">
      <w:pPr>
        <w:rPr>
          <w:b/>
          <w:i/>
          <w:sz w:val="24"/>
          <w:szCs w:val="24"/>
          <w:lang w:val="en-US"/>
        </w:rPr>
      </w:pPr>
      <w:r w:rsidRPr="00EA6A2E">
        <w:rPr>
          <w:b/>
          <w:i/>
          <w:sz w:val="24"/>
          <w:szCs w:val="24"/>
          <w:lang w:val="en-US"/>
        </w:rPr>
        <w:t>iPhone 13 ProMax</w:t>
      </w:r>
      <w:r w:rsidRPr="00A83A9E">
        <w:rPr>
          <w:b/>
          <w:i/>
          <w:sz w:val="24"/>
          <w:szCs w:val="24"/>
          <w:lang w:val="en-US"/>
        </w:rPr>
        <w:t xml:space="preserve"> 128</w:t>
      </w:r>
      <w:r>
        <w:rPr>
          <w:b/>
          <w:i/>
          <w:sz w:val="24"/>
          <w:szCs w:val="24"/>
          <w:lang w:val="en-US"/>
        </w:rPr>
        <w:t xml:space="preserve">GB – 1 </w:t>
      </w:r>
      <w:proofErr w:type="spellStart"/>
      <w:r>
        <w:rPr>
          <w:b/>
          <w:i/>
          <w:sz w:val="24"/>
          <w:szCs w:val="24"/>
        </w:rPr>
        <w:t>ед</w:t>
      </w:r>
      <w:proofErr w:type="spellEnd"/>
      <w:r w:rsidRPr="00A83A9E">
        <w:rPr>
          <w:b/>
          <w:i/>
          <w:sz w:val="24"/>
          <w:szCs w:val="24"/>
          <w:lang w:val="en-US"/>
        </w:rPr>
        <w:t>.</w:t>
      </w:r>
    </w:p>
    <w:p w14:paraId="2D337A15" w14:textId="34FE23A4" w:rsidR="00171197" w:rsidRDefault="00171197" w:rsidP="005A188E">
      <w:pPr>
        <w:rPr>
          <w:b/>
          <w:i/>
          <w:sz w:val="24"/>
          <w:szCs w:val="24"/>
          <w:lang w:val="en-US"/>
        </w:rPr>
      </w:pPr>
      <w:r w:rsidRPr="00EA6A2E">
        <w:rPr>
          <w:b/>
          <w:i/>
          <w:sz w:val="24"/>
          <w:szCs w:val="24"/>
          <w:lang w:val="en-US"/>
        </w:rPr>
        <w:t>XIAOMI POCO M5</w:t>
      </w:r>
      <w:r w:rsidRPr="00171197">
        <w:rPr>
          <w:b/>
          <w:i/>
          <w:sz w:val="24"/>
          <w:szCs w:val="24"/>
          <w:lang w:val="en-US"/>
        </w:rPr>
        <w:t> 128</w:t>
      </w:r>
      <w:r>
        <w:rPr>
          <w:b/>
          <w:i/>
          <w:sz w:val="24"/>
          <w:szCs w:val="24"/>
          <w:lang w:val="en-US"/>
        </w:rPr>
        <w:t xml:space="preserve">GB – 1 </w:t>
      </w:r>
      <w:proofErr w:type="spellStart"/>
      <w:r>
        <w:rPr>
          <w:b/>
          <w:i/>
          <w:sz w:val="24"/>
          <w:szCs w:val="24"/>
        </w:rPr>
        <w:t>ед</w:t>
      </w:r>
      <w:proofErr w:type="spellEnd"/>
      <w:r w:rsidRPr="00171197">
        <w:rPr>
          <w:b/>
          <w:i/>
          <w:sz w:val="24"/>
          <w:szCs w:val="24"/>
          <w:lang w:val="en-US"/>
        </w:rPr>
        <w:t>.</w:t>
      </w:r>
    </w:p>
    <w:p w14:paraId="14AA0999" w14:textId="100A5759" w:rsidR="00171197" w:rsidRPr="00A83A9E" w:rsidRDefault="00171197" w:rsidP="005A188E">
      <w:pPr>
        <w:rPr>
          <w:b/>
          <w:i/>
          <w:sz w:val="24"/>
          <w:szCs w:val="24"/>
          <w:lang w:val="en-US"/>
        </w:rPr>
      </w:pPr>
      <w:r w:rsidRPr="00EA6A2E">
        <w:rPr>
          <w:b/>
          <w:i/>
          <w:sz w:val="24"/>
          <w:szCs w:val="24"/>
          <w:lang w:val="en-US"/>
        </w:rPr>
        <w:t>iPhone 15 ProMax</w:t>
      </w:r>
      <w:r w:rsidRPr="00A83A9E">
        <w:rPr>
          <w:b/>
          <w:i/>
          <w:sz w:val="24"/>
          <w:szCs w:val="24"/>
          <w:lang w:val="en-US"/>
        </w:rPr>
        <w:t xml:space="preserve"> 256</w:t>
      </w:r>
      <w:r>
        <w:rPr>
          <w:b/>
          <w:i/>
          <w:sz w:val="24"/>
          <w:szCs w:val="24"/>
          <w:lang w:val="en-US"/>
        </w:rPr>
        <w:t xml:space="preserve">GB – 1 </w:t>
      </w:r>
      <w:proofErr w:type="spellStart"/>
      <w:r>
        <w:rPr>
          <w:b/>
          <w:i/>
          <w:sz w:val="24"/>
          <w:szCs w:val="24"/>
        </w:rPr>
        <w:t>ед</w:t>
      </w:r>
      <w:proofErr w:type="spellEnd"/>
      <w:r w:rsidRPr="00A83A9E">
        <w:rPr>
          <w:b/>
          <w:i/>
          <w:sz w:val="24"/>
          <w:szCs w:val="24"/>
          <w:lang w:val="en-US"/>
        </w:rPr>
        <w:t>.</w:t>
      </w:r>
    </w:p>
    <w:p w14:paraId="77C5B54A" w14:textId="564CB319" w:rsidR="00171197" w:rsidRPr="00171197" w:rsidRDefault="00171197" w:rsidP="005A188E">
      <w:pPr>
        <w:rPr>
          <w:rFonts w:ascii="Arial" w:hAnsi="Arial" w:cs="Arial"/>
          <w:sz w:val="24"/>
          <w:szCs w:val="24"/>
          <w:lang w:val="en-US"/>
        </w:rPr>
      </w:pPr>
      <w:r w:rsidRPr="00EA6A2E">
        <w:rPr>
          <w:b/>
          <w:i/>
          <w:sz w:val="24"/>
          <w:szCs w:val="24"/>
          <w:lang w:val="en-US"/>
        </w:rPr>
        <w:t>iPhone 14 Pro</w:t>
      </w:r>
      <w:r w:rsidRPr="00171197">
        <w:rPr>
          <w:b/>
          <w:i/>
          <w:sz w:val="24"/>
          <w:szCs w:val="24"/>
          <w:lang w:val="en-US"/>
        </w:rPr>
        <w:t xml:space="preserve"> 128</w:t>
      </w:r>
      <w:r>
        <w:rPr>
          <w:b/>
          <w:i/>
          <w:sz w:val="24"/>
          <w:szCs w:val="24"/>
          <w:lang w:val="en-US"/>
        </w:rPr>
        <w:t xml:space="preserve">GB </w:t>
      </w:r>
      <w:r w:rsidRPr="00171197">
        <w:rPr>
          <w:b/>
          <w:i/>
          <w:sz w:val="24"/>
          <w:szCs w:val="24"/>
          <w:lang w:val="en-US"/>
        </w:rPr>
        <w:t xml:space="preserve">– 2 </w:t>
      </w:r>
      <w:proofErr w:type="spellStart"/>
      <w:r>
        <w:rPr>
          <w:b/>
          <w:i/>
          <w:sz w:val="24"/>
          <w:szCs w:val="24"/>
        </w:rPr>
        <w:t>ед</w:t>
      </w:r>
      <w:proofErr w:type="spellEnd"/>
      <w:r w:rsidRPr="00171197">
        <w:rPr>
          <w:b/>
          <w:i/>
          <w:sz w:val="24"/>
          <w:szCs w:val="24"/>
          <w:lang w:val="en-US"/>
        </w:rPr>
        <w:t>.</w:t>
      </w:r>
    </w:p>
    <w:p w14:paraId="56CD346B" w14:textId="76F96F57" w:rsidR="005A188E" w:rsidRPr="00171197" w:rsidRDefault="00171197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Цвет не критичен.</w:t>
      </w:r>
    </w:p>
    <w:p w14:paraId="50F4AF9B" w14:textId="56019E61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35294B1C" w:rsidR="00453C5A" w:rsidRPr="00A83A9E" w:rsidRDefault="008323C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="00171197" w:rsidRPr="00A83A9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Pr="008323C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B1411231351287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60CDEC2F" w:rsidR="00453C5A" w:rsidRPr="003E343D" w:rsidRDefault="00171197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119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смартфонов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6AF259D7" w14:textId="56EAA4BC" w:rsidR="00C0311D" w:rsidRPr="00171197" w:rsidRDefault="00BC18EC" w:rsidP="001711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5B9C9229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3</w:t>
      </w:r>
    </w:p>
    <w:p w14:paraId="28F671A5" w14:textId="3A7B37E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0C5803F" w14:textId="5B4AC69A" w:rsidR="00A83A9E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3C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8323CC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8323CC" w:rsidRPr="008323CC">
        <w:rPr>
          <w:rFonts w:ascii="Arial" w:eastAsia="Calibri" w:hAnsi="Arial" w:cs="Arial"/>
          <w:i/>
          <w:color w:val="000000" w:themeColor="text1"/>
          <w:sz w:val="24"/>
          <w:szCs w:val="24"/>
        </w:rPr>
        <w:t>B1411231351287</w:t>
      </w:r>
    </w:p>
    <w:p w14:paraId="7051A456" w14:textId="027655C8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171197" w:rsidRPr="00171197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смартфонов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D91BF4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323C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71197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06ECB9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71197" w:rsidRPr="0017119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8DC808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AFB60A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3C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8323CC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8323CC" w:rsidRPr="008323CC">
        <w:rPr>
          <w:rFonts w:ascii="Arial" w:eastAsia="Calibri" w:hAnsi="Arial" w:cs="Arial"/>
          <w:i/>
          <w:color w:val="000000" w:themeColor="text1"/>
          <w:sz w:val="24"/>
          <w:szCs w:val="24"/>
        </w:rPr>
        <w:t>B1411231351287</w:t>
      </w:r>
    </w:p>
    <w:p w14:paraId="28C1A091" w14:textId="0189D8F3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171197" w:rsidRPr="00171197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смартфонов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0B62EFBB" w:rsidR="003E50A3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____</w:t>
      </w:r>
    </w:p>
    <w:p w14:paraId="6D93A270" w14:textId="0BF7EB6E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____</w:t>
      </w:r>
    </w:p>
    <w:p w14:paraId="410F91E2" w14:textId="35DFCEDC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Гарантия ____</w:t>
      </w:r>
    </w:p>
    <w:p w14:paraId="660FA643" w14:textId="219E155F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действия КП _____</w:t>
      </w: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3DFA5332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E317E" w14:textId="77777777" w:rsidR="003335B9" w:rsidRDefault="003335B9">
      <w:pPr>
        <w:spacing w:after="0" w:line="240" w:lineRule="auto"/>
      </w:pPr>
      <w:r>
        <w:separator/>
      </w:r>
    </w:p>
  </w:endnote>
  <w:endnote w:type="continuationSeparator" w:id="0">
    <w:p w14:paraId="5241E0F8" w14:textId="77777777" w:rsidR="003335B9" w:rsidRDefault="0033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3335B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1EEB3" w14:textId="77777777" w:rsidR="003335B9" w:rsidRDefault="003335B9">
      <w:pPr>
        <w:spacing w:after="0" w:line="240" w:lineRule="auto"/>
      </w:pPr>
      <w:r>
        <w:separator/>
      </w:r>
    </w:p>
  </w:footnote>
  <w:footnote w:type="continuationSeparator" w:id="0">
    <w:p w14:paraId="1ABD0CE3" w14:textId="77777777" w:rsidR="003335B9" w:rsidRDefault="0033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71197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35B9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323CC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37A8B"/>
    <w:rsid w:val="00A60C13"/>
    <w:rsid w:val="00A82571"/>
    <w:rsid w:val="00A83A9E"/>
    <w:rsid w:val="00A8737A"/>
    <w:rsid w:val="00AA1657"/>
    <w:rsid w:val="00AC028E"/>
    <w:rsid w:val="00AC108A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E01ED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15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90</cp:revision>
  <dcterms:created xsi:type="dcterms:W3CDTF">2023-10-19T12:36:00Z</dcterms:created>
  <dcterms:modified xsi:type="dcterms:W3CDTF">2023-11-14T11:09:00Z</dcterms:modified>
</cp:coreProperties>
</file>