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4B1" w:rsidRDefault="007C6BB0" w:rsidP="007C6BB0">
      <w:pPr>
        <w:tabs>
          <w:tab w:val="left" w:pos="6555"/>
        </w:tabs>
        <w:jc w:val="center"/>
        <w:rPr>
          <w:b/>
          <w:sz w:val="28"/>
          <w:szCs w:val="28"/>
        </w:rPr>
      </w:pPr>
      <w:r w:rsidRPr="007C6BB0">
        <w:rPr>
          <w:b/>
          <w:sz w:val="28"/>
          <w:szCs w:val="28"/>
        </w:rPr>
        <w:t>Заявка (ТрЗ)</w:t>
      </w:r>
    </w:p>
    <w:p w:rsidR="007C6BB0" w:rsidRPr="007C6BB0" w:rsidRDefault="007C6BB0" w:rsidP="007C6BB0">
      <w:pPr>
        <w:tabs>
          <w:tab w:val="left" w:pos="6555"/>
        </w:tabs>
        <w:jc w:val="center"/>
        <w:rPr>
          <w:b/>
          <w:sz w:val="28"/>
          <w:szCs w:val="28"/>
        </w:rPr>
      </w:pPr>
    </w:p>
    <w:p w:rsidR="007C6BB0" w:rsidRPr="00B94F5B" w:rsidRDefault="007C6BB0" w:rsidP="007C6BB0">
      <w:pPr>
        <w:pStyle w:val="a4"/>
        <w:rPr>
          <w:b/>
        </w:rPr>
      </w:pPr>
      <w:r w:rsidRPr="00B94F5B">
        <w:rPr>
          <w:b/>
        </w:rPr>
        <w:t xml:space="preserve">Уважаемые участники, убедительная просьба при подаче Вашего предложения </w:t>
      </w:r>
      <w:r w:rsidRPr="00B94F5B">
        <w:rPr>
          <w:b/>
          <w:u w:val="single"/>
        </w:rPr>
        <w:t>обязательно крепить</w:t>
      </w:r>
      <w:r w:rsidRPr="00B94F5B">
        <w:rPr>
          <w:b/>
        </w:rPr>
        <w:t xml:space="preserve"> помимо всего прочего </w:t>
      </w:r>
      <w:r w:rsidRPr="00B94F5B">
        <w:rPr>
          <w:b/>
          <w:u w:val="single"/>
        </w:rPr>
        <w:t>технико-коммерческое предложение</w:t>
      </w:r>
      <w:r w:rsidRPr="00B94F5B">
        <w:rPr>
          <w:b/>
        </w:rPr>
        <w:t>, в случае его отсутствия – заявка не будет приниматься к рассмотрению.</w:t>
      </w:r>
    </w:p>
    <w:p w:rsidR="007C6BB0" w:rsidRDefault="007C6BB0" w:rsidP="007C6BB0">
      <w:pPr>
        <w:tabs>
          <w:tab w:val="left" w:pos="6555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6768"/>
      </w:tblGrid>
      <w:tr w:rsidR="00A104B1" w:rsidTr="00A104B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B1" w:rsidRDefault="00A104B1">
            <w:pPr>
              <w:tabs>
                <w:tab w:val="left" w:pos="6555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Марка, модель и тип транспортного средства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B1" w:rsidRDefault="00A104B1">
            <w:pPr>
              <w:pStyle w:val="Style3"/>
              <w:widowControl/>
              <w:spacing w:line="240" w:lineRule="auto"/>
              <w:ind w:firstLine="0"/>
              <w:rPr>
                <w:rStyle w:val="FontStyle15"/>
              </w:rPr>
            </w:pPr>
            <w:r w:rsidRPr="00CF2FE2">
              <w:rPr>
                <w:b/>
                <w:sz w:val="22"/>
                <w:szCs w:val="22"/>
              </w:rPr>
              <w:t>Погрузчик универсальный с бортовым поворотом АМКОДОР 211</w:t>
            </w:r>
            <w:r w:rsidR="00CF2FE2" w:rsidRPr="00CF2FE2">
              <w:rPr>
                <w:b/>
                <w:sz w:val="22"/>
                <w:szCs w:val="22"/>
              </w:rPr>
              <w:t xml:space="preserve"> (или аналог)</w:t>
            </w:r>
            <w:r>
              <w:rPr>
                <w:sz w:val="22"/>
                <w:szCs w:val="22"/>
              </w:rPr>
              <w:t xml:space="preserve">, код комплектации 0005, в комплексе с быстросменными рабочими органами: ковш 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=0,59 м3, щеткой в сборе, бетоносмесителем гравитационным, снегоочистителем фрезерно-роторным.</w:t>
            </w:r>
            <w:r>
              <w:t xml:space="preserve"> </w:t>
            </w:r>
            <w:r>
              <w:rPr>
                <w:rStyle w:val="FontStyle15"/>
              </w:rPr>
              <w:t xml:space="preserve">Смена рабочих органов должна осуществляться без применения инструментов с помощью быстросменного устройства (адаптера) с дистанционным гидравлическим управлением. Время замены пассивных рабочих органов не должно превышать 1 минуты, рабочих органов с гидравлическим приводом не должно превышать 3 минуты. </w:t>
            </w:r>
          </w:p>
          <w:p w:rsidR="00A104B1" w:rsidRDefault="00A104B1">
            <w:pPr>
              <w:pStyle w:val="Style3"/>
              <w:widowControl/>
              <w:spacing w:line="240" w:lineRule="auto"/>
              <w:ind w:firstLine="0"/>
              <w:rPr>
                <w:rStyle w:val="FontStyle15"/>
              </w:rPr>
            </w:pPr>
            <w:r>
              <w:rPr>
                <w:rStyle w:val="FontStyle15"/>
              </w:rPr>
              <w:t>Дизайнер интерьера и экстерьера погрузчика – модернизированный, кондиционер -наличие.</w:t>
            </w:r>
          </w:p>
          <w:p w:rsidR="00A104B1" w:rsidRDefault="00A104B1" w:rsidP="00CF2FE2">
            <w:pPr>
              <w:pStyle w:val="Style3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FontStyle15"/>
              </w:rPr>
              <w:t xml:space="preserve">Погрузчик должен соответствовать требованиям технического регламента Таможенного союза </w:t>
            </w:r>
            <w:r>
              <w:rPr>
                <w:rStyle w:val="FontStyle15"/>
                <w:lang w:val="en-US"/>
              </w:rPr>
              <w:t>TP</w:t>
            </w:r>
            <w:r w:rsidRPr="00A104B1">
              <w:rPr>
                <w:rStyle w:val="FontStyle15"/>
              </w:rPr>
              <w:t xml:space="preserve"> </w:t>
            </w:r>
            <w:r>
              <w:rPr>
                <w:rStyle w:val="FontStyle15"/>
              </w:rPr>
              <w:t xml:space="preserve">ТС 010/2011 «О безопасности машин и оборудования». Необходимо предъявить сертификат (или протокол испытаний в аккредитованном центре) соответствия погрузчика следующим ТНПА: СТБ </w:t>
            </w:r>
            <w:r>
              <w:rPr>
                <w:rStyle w:val="FontStyle15"/>
                <w:lang w:val="en-US"/>
              </w:rPr>
              <w:t>EN</w:t>
            </w:r>
            <w:r>
              <w:rPr>
                <w:rStyle w:val="FontStyle15"/>
              </w:rPr>
              <w:t xml:space="preserve"> 474-3-2011 «Машины землеройные. Безопасность. Часть 3. Требования к погрузчикам»; СТБ ИСО 3471-2001 «Машины землеройные. Устройства защиты при опрокидывании. Технические требования и лабораторные испытания»; ГОСТ ИСО 3449-2005 «Машины землеройные. Устройства защиты от падающих предметов. Технические требования и лабораторные испытания»; ГОСТ Р ИСО 3450-99 «Машины землеройные. Тормозные системы. Требования к эффективности и методы испытаний».</w:t>
            </w:r>
          </w:p>
        </w:tc>
      </w:tr>
      <w:tr w:rsidR="00A104B1" w:rsidTr="00A104B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B1" w:rsidRDefault="00A104B1">
            <w:pPr>
              <w:tabs>
                <w:tab w:val="left" w:pos="65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Технические параметры погрузчика с ковшом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2661"/>
              <w:gridCol w:w="7"/>
              <w:gridCol w:w="3825"/>
              <w:gridCol w:w="9"/>
            </w:tblGrid>
            <w:tr w:rsidR="00A104B1">
              <w:tc>
                <w:tcPr>
                  <w:tcW w:w="36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Грузоподъемность, кг</w:t>
                  </w:r>
                </w:p>
              </w:tc>
              <w:tc>
                <w:tcPr>
                  <w:tcW w:w="6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Не менее 1200</w:t>
                  </w:r>
                </w:p>
              </w:tc>
            </w:tr>
            <w:tr w:rsidR="00A104B1">
              <w:tc>
                <w:tcPr>
                  <w:tcW w:w="36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Вместимость ковша, м'</w:t>
                  </w:r>
                </w:p>
              </w:tc>
              <w:tc>
                <w:tcPr>
                  <w:tcW w:w="6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Не менее 0,59</w:t>
                  </w:r>
                </w:p>
              </w:tc>
            </w:tr>
            <w:tr w:rsidR="00A104B1">
              <w:tc>
                <w:tcPr>
                  <w:tcW w:w="36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Ширина режущей кромки ковша, мм</w:t>
                  </w:r>
                </w:p>
              </w:tc>
              <w:tc>
                <w:tcPr>
                  <w:tcW w:w="6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Не более 2120</w:t>
                  </w:r>
                </w:p>
              </w:tc>
            </w:tr>
            <w:tr w:rsidR="00A104B1">
              <w:tc>
                <w:tcPr>
                  <w:tcW w:w="36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Ширина по колесам, мм</w:t>
                  </w:r>
                </w:p>
              </w:tc>
              <w:tc>
                <w:tcPr>
                  <w:tcW w:w="6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Не более 1900</w:t>
                  </w:r>
                </w:p>
              </w:tc>
            </w:tr>
            <w:tr w:rsidR="00A104B1">
              <w:tc>
                <w:tcPr>
                  <w:tcW w:w="36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Высота разгрузки, мм</w:t>
                  </w:r>
                </w:p>
              </w:tc>
              <w:tc>
                <w:tcPr>
                  <w:tcW w:w="6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Не менее 2450</w:t>
                  </w:r>
                </w:p>
              </w:tc>
            </w:tr>
            <w:tr w:rsidR="00A104B1">
              <w:tc>
                <w:tcPr>
                  <w:tcW w:w="36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Вылет кромки ковша, мм</w:t>
                  </w:r>
                </w:p>
              </w:tc>
              <w:tc>
                <w:tcPr>
                  <w:tcW w:w="6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Не менее 410</w:t>
                  </w:r>
                </w:p>
              </w:tc>
            </w:tr>
            <w:tr w:rsidR="00A104B1">
              <w:tc>
                <w:tcPr>
                  <w:tcW w:w="36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Радиус поворота, мм</w:t>
                  </w:r>
                </w:p>
              </w:tc>
              <w:tc>
                <w:tcPr>
                  <w:tcW w:w="6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Не более 2700</w:t>
                  </w:r>
                </w:p>
              </w:tc>
            </w:tr>
            <w:tr w:rsidR="00A104B1">
              <w:tc>
                <w:tcPr>
                  <w:tcW w:w="36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Вырывное усилие, кгс</w:t>
                  </w:r>
                </w:p>
              </w:tc>
              <w:tc>
                <w:tcPr>
                  <w:tcW w:w="6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Не менее 2400</w:t>
                  </w:r>
                </w:p>
              </w:tc>
            </w:tr>
            <w:tr w:rsidR="00A104B1">
              <w:tc>
                <w:tcPr>
                  <w:tcW w:w="36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Быстросменное устройство (адаптер) для быстрой установки и снятия сменных рабочих органов</w:t>
                  </w:r>
                </w:p>
              </w:tc>
              <w:tc>
                <w:tcPr>
                  <w:tcW w:w="6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</w:p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</w:p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Обязательно</w:t>
                  </w:r>
                </w:p>
              </w:tc>
            </w:tr>
            <w:tr w:rsidR="00A104B1">
              <w:tc>
                <w:tcPr>
                  <w:tcW w:w="36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Управление быстросменным устройством (адаптером)</w:t>
                  </w:r>
                </w:p>
              </w:tc>
              <w:tc>
                <w:tcPr>
                  <w:tcW w:w="6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</w:p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Гидравлическое, дистанционно, джойстиком из кабины оператора</w:t>
                  </w:r>
                </w:p>
              </w:tc>
            </w:tr>
            <w:tr w:rsidR="00A104B1">
              <w:tc>
                <w:tcPr>
                  <w:tcW w:w="36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Статическая опрокидывающая нагрузка, кг</w:t>
                  </w:r>
                </w:p>
              </w:tc>
              <w:tc>
                <w:tcPr>
                  <w:tcW w:w="6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Не менее 2400</w:t>
                  </w:r>
                </w:p>
              </w:tc>
            </w:tr>
            <w:tr w:rsidR="00A104B1">
              <w:tc>
                <w:tcPr>
                  <w:tcW w:w="36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Масса эксплуатационная (с ковшом), кг</w:t>
                  </w:r>
                </w:p>
              </w:tc>
              <w:tc>
                <w:tcPr>
                  <w:tcW w:w="6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Не более 3800</w:t>
                  </w:r>
                </w:p>
              </w:tc>
            </w:tr>
            <w:tr w:rsidR="00A104B1">
              <w:tc>
                <w:tcPr>
                  <w:tcW w:w="36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 xml:space="preserve">Кабина оператора со встроенным каркасом безопасности </w:t>
                  </w:r>
                  <w:r>
                    <w:rPr>
                      <w:rStyle w:val="FontStyle15"/>
                      <w:lang w:val="en-US" w:eastAsia="en-US"/>
                    </w:rPr>
                    <w:t>FOBS</w:t>
                  </w:r>
                  <w:r w:rsidRPr="00A104B1">
                    <w:rPr>
                      <w:rStyle w:val="FontStyle15"/>
                      <w:lang w:eastAsia="en-US"/>
                    </w:rPr>
                    <w:t xml:space="preserve"> </w:t>
                  </w:r>
                  <w:r>
                    <w:rPr>
                      <w:rStyle w:val="FontStyle15"/>
                      <w:lang w:val="en-US" w:eastAsia="en-US"/>
                    </w:rPr>
                    <w:t>ROBS</w:t>
                  </w:r>
                  <w:r>
                    <w:rPr>
                      <w:rStyle w:val="FontStyle15"/>
                      <w:lang w:eastAsia="en-US"/>
                    </w:rPr>
                    <w:t>, испытанным в соответствии с т</w:t>
                  </w:r>
                  <w:r w:rsidR="00CF2FE2">
                    <w:rPr>
                      <w:rStyle w:val="FontStyle15"/>
                      <w:lang w:eastAsia="en-US"/>
                    </w:rPr>
                    <w:t>ребованиями СТБ ИСО 3471-2001 и</w:t>
                  </w:r>
                  <w:r>
                    <w:rPr>
                      <w:rStyle w:val="FontStyle15"/>
                      <w:lang w:eastAsia="en-US"/>
                    </w:rPr>
                    <w:t xml:space="preserve"> ГОСТ ИСО 3449-2005</w:t>
                  </w:r>
                </w:p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Наличие маркировочной таблички на кабине о наличии каркаса безопасности, изготовителе и допустимой массе погрузчика, дизайн интерьера и экстерьера –модернизированный, кондиционер.</w:t>
                  </w:r>
                </w:p>
              </w:tc>
              <w:tc>
                <w:tcPr>
                  <w:tcW w:w="6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</w:p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</w:p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Обязательно</w:t>
                  </w:r>
                </w:p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</w:p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</w:p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</w:p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 xml:space="preserve">Обязательно </w:t>
                  </w:r>
                </w:p>
              </w:tc>
            </w:tr>
            <w:tr w:rsidR="00A104B1">
              <w:tc>
                <w:tcPr>
                  <w:tcW w:w="36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Двигатель</w:t>
                  </w:r>
                </w:p>
              </w:tc>
              <w:tc>
                <w:tcPr>
                  <w:tcW w:w="6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4B1" w:rsidRDefault="00A104B1">
                  <w:pPr>
                    <w:spacing w:line="256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 xml:space="preserve">Модель Д-243, дизель, 4 – цилиндровый, рядный, 4- тактный, с электростартерным </w:t>
                  </w:r>
                  <w:r>
                    <w:rPr>
                      <w:rStyle w:val="FontStyle15"/>
                      <w:lang w:eastAsia="en-US"/>
                    </w:rPr>
                    <w:lastRenderedPageBreak/>
                    <w:t>запуском, устройством пуска при отрицательных (до -20</w:t>
                  </w:r>
                  <w:r>
                    <w:rPr>
                      <w:rFonts w:ascii="Arial" w:hAnsi="Arial" w:cs="Arial"/>
                      <w:sz w:val="26"/>
                      <w:szCs w:val="26"/>
                      <w:lang w:eastAsia="en-US"/>
                    </w:rPr>
                    <w:t>°</w:t>
                  </w:r>
                  <w:r>
                    <w:rPr>
                      <w:rStyle w:val="FontStyle15"/>
                      <w:lang w:eastAsia="en-US"/>
                    </w:rPr>
                    <w:t>С) температурах</w:t>
                  </w:r>
                </w:p>
                <w:p w:rsidR="00A104B1" w:rsidRDefault="00A104B1">
                  <w:pPr>
                    <w:spacing w:line="256" w:lineRule="auto"/>
                    <w:rPr>
                      <w:rStyle w:val="FontStyle15"/>
                      <w:rFonts w:ascii="MS Shell Dlg 2" w:hAnsi="MS Shell Dlg 2" w:cs="MS Shell Dlg 2"/>
                      <w:sz w:val="17"/>
                      <w:szCs w:val="17"/>
                      <w:lang w:eastAsia="en-US"/>
                    </w:rPr>
                  </w:pPr>
                </w:p>
              </w:tc>
            </w:tr>
            <w:tr w:rsidR="00A104B1">
              <w:tc>
                <w:tcPr>
                  <w:tcW w:w="36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lastRenderedPageBreak/>
                    <w:t>Мощность номинальная, кВт (л.с.)</w:t>
                  </w:r>
                </w:p>
              </w:tc>
              <w:tc>
                <w:tcPr>
                  <w:tcW w:w="6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 xml:space="preserve">Не менее 59,6 (81) </w:t>
                  </w:r>
                </w:p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</w:p>
              </w:tc>
            </w:tr>
            <w:tr w:rsidR="00A104B1">
              <w:tc>
                <w:tcPr>
                  <w:tcW w:w="36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Трансмиссия</w:t>
                  </w:r>
                </w:p>
              </w:tc>
              <w:tc>
                <w:tcPr>
                  <w:tcW w:w="6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Гидрообъемная, закрытая, с независимым приводом бортов, с регулируемыми гидронасосами и нерегулируемыми гидромоторами</w:t>
                  </w:r>
                </w:p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</w:p>
              </w:tc>
            </w:tr>
            <w:tr w:rsidR="00A104B1">
              <w:tc>
                <w:tcPr>
                  <w:tcW w:w="36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Система поворота</w:t>
                  </w:r>
                </w:p>
              </w:tc>
              <w:tc>
                <w:tcPr>
                  <w:tcW w:w="6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За счет разности скоростей движения колес правого и левого бортов</w:t>
                  </w:r>
                </w:p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</w:p>
              </w:tc>
            </w:tr>
            <w:tr w:rsidR="00A104B1">
              <w:tc>
                <w:tcPr>
                  <w:tcW w:w="36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proofErr w:type="gramStart"/>
                  <w:r>
                    <w:rPr>
                      <w:rStyle w:val="FontStyle15"/>
                      <w:lang w:eastAsia="en-US"/>
                    </w:rPr>
                    <w:t>Скорость  передвижения</w:t>
                  </w:r>
                  <w:proofErr w:type="gramEnd"/>
                  <w:r>
                    <w:rPr>
                      <w:rStyle w:val="FontStyle15"/>
                      <w:lang w:eastAsia="en-US"/>
                    </w:rPr>
                    <w:t>, км/ч:</w:t>
                  </w:r>
                </w:p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</w:p>
              </w:tc>
              <w:tc>
                <w:tcPr>
                  <w:tcW w:w="6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0…12</w:t>
                  </w:r>
                </w:p>
              </w:tc>
            </w:tr>
            <w:tr w:rsidR="00A104B1">
              <w:trPr>
                <w:gridAfter w:val="1"/>
                <w:wAfter w:w="10" w:type="dxa"/>
              </w:trPr>
              <w:tc>
                <w:tcPr>
                  <w:tcW w:w="3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Рабочая тормозная система</w:t>
                  </w:r>
                </w:p>
              </w:tc>
              <w:tc>
                <w:tcPr>
                  <w:tcW w:w="60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4B1" w:rsidRDefault="00A104B1">
                  <w:pPr>
                    <w:pStyle w:val="Style4"/>
                    <w:widowControl/>
                    <w:spacing w:line="223" w:lineRule="exact"/>
                    <w:ind w:left="7" w:hanging="7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Замкнутый контур гидрообъемной трансмиссии</w:t>
                  </w:r>
                </w:p>
                <w:p w:rsidR="00A104B1" w:rsidRDefault="00A104B1">
                  <w:pPr>
                    <w:pStyle w:val="Style4"/>
                    <w:widowControl/>
                    <w:spacing w:line="223" w:lineRule="exact"/>
                    <w:ind w:left="7" w:hanging="7"/>
                    <w:rPr>
                      <w:rStyle w:val="FontStyle15"/>
                      <w:lang w:eastAsia="en-US"/>
                    </w:rPr>
                  </w:pPr>
                </w:p>
              </w:tc>
            </w:tr>
            <w:tr w:rsidR="00A104B1">
              <w:trPr>
                <w:gridAfter w:val="1"/>
                <w:wAfter w:w="10" w:type="dxa"/>
              </w:trPr>
              <w:tc>
                <w:tcPr>
                  <w:tcW w:w="3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ind w:left="14" w:hanging="14"/>
                    <w:rPr>
                      <w:rStyle w:val="FontStyle15"/>
                    </w:rPr>
                  </w:pPr>
                  <w:r>
                    <w:rPr>
                      <w:rStyle w:val="FontStyle15"/>
                      <w:lang w:eastAsia="en-US"/>
                    </w:rPr>
                    <w:t>Стояночная и аварийная тормозная система</w:t>
                  </w:r>
                </w:p>
              </w:tc>
              <w:tc>
                <w:tcPr>
                  <w:tcW w:w="60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4B1" w:rsidRDefault="00A104B1">
                  <w:pPr>
                    <w:pStyle w:val="Style4"/>
                    <w:widowControl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Постоянно замкнутые многодисковые тормоза в масляной ванне в ступицах задних колес</w:t>
                  </w:r>
                </w:p>
                <w:p w:rsidR="00A104B1" w:rsidRDefault="00A104B1">
                  <w:pPr>
                    <w:pStyle w:val="Style4"/>
                    <w:widowControl/>
                    <w:rPr>
                      <w:rStyle w:val="FontStyle15"/>
                      <w:lang w:eastAsia="en-US"/>
                    </w:rPr>
                  </w:pPr>
                </w:p>
              </w:tc>
            </w:tr>
            <w:tr w:rsidR="00A104B1">
              <w:trPr>
                <w:gridAfter w:val="1"/>
                <w:wAfter w:w="10" w:type="dxa"/>
              </w:trPr>
              <w:tc>
                <w:tcPr>
                  <w:tcW w:w="3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</w:rPr>
                  </w:pPr>
                  <w:r>
                    <w:rPr>
                      <w:rStyle w:val="FontStyle15"/>
                      <w:lang w:eastAsia="en-US"/>
                    </w:rPr>
                    <w:t>Клиренс (дорожный просвет), мм</w:t>
                  </w:r>
                </w:p>
              </w:tc>
              <w:tc>
                <w:tcPr>
                  <w:tcW w:w="60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Не менее 230</w:t>
                  </w:r>
                </w:p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</w:p>
              </w:tc>
            </w:tr>
            <w:tr w:rsidR="00A104B1">
              <w:trPr>
                <w:gridAfter w:val="1"/>
                <w:wAfter w:w="10" w:type="dxa"/>
              </w:trPr>
              <w:tc>
                <w:tcPr>
                  <w:tcW w:w="3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</w:rPr>
                  </w:pPr>
                  <w:r>
                    <w:rPr>
                      <w:rStyle w:val="FontStyle15"/>
                      <w:lang w:eastAsia="en-US"/>
                    </w:rPr>
                    <w:t>Шины</w:t>
                  </w:r>
                </w:p>
              </w:tc>
              <w:tc>
                <w:tcPr>
                  <w:tcW w:w="60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12,4</w:t>
                  </w:r>
                  <w:r>
                    <w:rPr>
                      <w:rStyle w:val="FontStyle15"/>
                      <w:lang w:val="en-US" w:eastAsia="en-US"/>
                    </w:rPr>
                    <w:t>L-16</w:t>
                  </w:r>
                </w:p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</w:p>
              </w:tc>
            </w:tr>
            <w:tr w:rsidR="00A104B1">
              <w:trPr>
                <w:gridAfter w:val="1"/>
                <w:wAfter w:w="10" w:type="dxa"/>
              </w:trPr>
              <w:tc>
                <w:tcPr>
                  <w:tcW w:w="3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</w:rPr>
                  </w:pPr>
                  <w:r>
                    <w:rPr>
                      <w:rStyle w:val="FontStyle15"/>
                      <w:lang w:eastAsia="en-US"/>
                    </w:rPr>
                    <w:t>Тип гидросистемы</w:t>
                  </w:r>
                </w:p>
              </w:tc>
              <w:tc>
                <w:tcPr>
                  <w:tcW w:w="60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Трехконтурная:</w:t>
                  </w:r>
                </w:p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контур привода хода;</w:t>
                  </w:r>
                </w:p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контур привода рабочего оборудования;</w:t>
                  </w:r>
                </w:p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контур привода управления гидрораспределителем и насосами хода</w:t>
                  </w:r>
                </w:p>
              </w:tc>
            </w:tr>
            <w:tr w:rsidR="00A104B1">
              <w:trPr>
                <w:gridAfter w:val="1"/>
                <w:wAfter w:w="10" w:type="dxa"/>
              </w:trPr>
              <w:tc>
                <w:tcPr>
                  <w:tcW w:w="3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</w:rPr>
                  </w:pPr>
                  <w:r>
                    <w:rPr>
                      <w:rStyle w:val="FontStyle15"/>
                      <w:lang w:eastAsia="en-US"/>
                    </w:rPr>
                    <w:t>Давление в гидравлических системах, ограниченное предохранительными клапанами, МПа;</w:t>
                  </w:r>
                </w:p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-погрузочного оборудования</w:t>
                  </w:r>
                </w:p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-контуре управления</w:t>
                  </w:r>
                </w:p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-гидросистеме хода</w:t>
                  </w:r>
                </w:p>
              </w:tc>
              <w:tc>
                <w:tcPr>
                  <w:tcW w:w="60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</w:p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</w:p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</w:p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 xml:space="preserve"> 20</w:t>
                  </w:r>
                </w:p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 xml:space="preserve"> 3</w:t>
                  </w:r>
                </w:p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 xml:space="preserve"> 35</w:t>
                  </w:r>
                </w:p>
              </w:tc>
            </w:tr>
            <w:tr w:rsidR="00A104B1">
              <w:trPr>
                <w:gridAfter w:val="1"/>
                <w:wAfter w:w="10" w:type="dxa"/>
              </w:trPr>
              <w:tc>
                <w:tcPr>
                  <w:tcW w:w="3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</w:rPr>
                  </w:pPr>
                  <w:r>
                    <w:rPr>
                      <w:rStyle w:val="FontStyle15"/>
                      <w:lang w:eastAsia="en-US"/>
                    </w:rPr>
                    <w:t>Гидрораспределитель</w:t>
                  </w:r>
                </w:p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Количество секций</w:t>
                  </w:r>
                </w:p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Тип управления</w:t>
                  </w:r>
                </w:p>
              </w:tc>
              <w:tc>
                <w:tcPr>
                  <w:tcW w:w="60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 xml:space="preserve"> </w:t>
                  </w:r>
                </w:p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Не менее 3-х</w:t>
                  </w:r>
                </w:p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 xml:space="preserve">Прямое гидравлическое управление, джойстиком из кабины оператора </w:t>
                  </w:r>
                </w:p>
              </w:tc>
            </w:tr>
            <w:tr w:rsidR="00A104B1">
              <w:trPr>
                <w:gridAfter w:val="1"/>
                <w:wAfter w:w="10" w:type="dxa"/>
              </w:trPr>
              <w:tc>
                <w:tcPr>
                  <w:tcW w:w="3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</w:rPr>
                  </w:pPr>
                  <w:r>
                    <w:rPr>
                      <w:rStyle w:val="FontStyle15"/>
                      <w:lang w:eastAsia="en-US"/>
                    </w:rPr>
                    <w:t>Быстроразъемные муфты для подсоединения гидросистем рабочих органов, с клапанами, исключающими потери рабочей жидкости при замене рабочих органов</w:t>
                  </w:r>
                </w:p>
              </w:tc>
              <w:tc>
                <w:tcPr>
                  <w:tcW w:w="60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</w:p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</w:p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</w:p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Обязательно</w:t>
                  </w:r>
                </w:p>
              </w:tc>
            </w:tr>
            <w:tr w:rsidR="00A104B1">
              <w:trPr>
                <w:gridAfter w:val="1"/>
                <w:wAfter w:w="10" w:type="dxa"/>
              </w:trPr>
              <w:tc>
                <w:tcPr>
                  <w:tcW w:w="96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</w:rPr>
                  </w:pPr>
                  <w:r>
                    <w:rPr>
                      <w:rStyle w:val="FontStyle15"/>
                      <w:lang w:eastAsia="en-US"/>
                    </w:rPr>
                    <w:t>Заправочные емкости, л:</w:t>
                  </w:r>
                </w:p>
              </w:tc>
            </w:tr>
            <w:tr w:rsidR="00A104B1">
              <w:trPr>
                <w:gridAfter w:val="1"/>
                <w:wAfter w:w="10" w:type="dxa"/>
              </w:trPr>
              <w:tc>
                <w:tcPr>
                  <w:tcW w:w="3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</w:rPr>
                  </w:pPr>
                  <w:r>
                    <w:rPr>
                      <w:rStyle w:val="FontStyle15"/>
                      <w:lang w:eastAsia="en-US"/>
                    </w:rPr>
                    <w:t>топливный бак</w:t>
                  </w:r>
                </w:p>
              </w:tc>
              <w:tc>
                <w:tcPr>
                  <w:tcW w:w="60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tabs>
                      <w:tab w:val="left" w:leader="hyphen" w:pos="2261"/>
                    </w:tabs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 xml:space="preserve">Не менее 75                  </w:t>
                  </w:r>
                </w:p>
              </w:tc>
            </w:tr>
            <w:tr w:rsidR="00A104B1">
              <w:trPr>
                <w:gridAfter w:val="1"/>
                <w:wAfter w:w="10" w:type="dxa"/>
              </w:trPr>
              <w:tc>
                <w:tcPr>
                  <w:tcW w:w="3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</w:rPr>
                  </w:pPr>
                  <w:r>
                    <w:rPr>
                      <w:rStyle w:val="FontStyle15"/>
                      <w:lang w:eastAsia="en-US"/>
                    </w:rPr>
                    <w:t>гидробак</w:t>
                  </w:r>
                </w:p>
              </w:tc>
              <w:tc>
                <w:tcPr>
                  <w:tcW w:w="60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Не более 75</w:t>
                  </w:r>
                </w:p>
              </w:tc>
            </w:tr>
            <w:tr w:rsidR="00A104B1">
              <w:trPr>
                <w:gridAfter w:val="1"/>
                <w:wAfter w:w="10" w:type="dxa"/>
              </w:trPr>
              <w:tc>
                <w:tcPr>
                  <w:tcW w:w="96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</w:rPr>
                  </w:pPr>
                  <w:r>
                    <w:rPr>
                      <w:rStyle w:val="FontStyle15"/>
                      <w:lang w:eastAsia="en-US"/>
                    </w:rPr>
                    <w:t>Габаритные размеры в транспортном положении, мм:</w:t>
                  </w:r>
                </w:p>
              </w:tc>
            </w:tr>
            <w:tr w:rsidR="00A104B1">
              <w:trPr>
                <w:gridAfter w:val="1"/>
                <w:wAfter w:w="10" w:type="dxa"/>
              </w:trPr>
              <w:tc>
                <w:tcPr>
                  <w:tcW w:w="3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</w:rPr>
                  </w:pPr>
                  <w:r>
                    <w:rPr>
                      <w:rStyle w:val="FontStyle15"/>
                      <w:lang w:eastAsia="en-US"/>
                    </w:rPr>
                    <w:t>длина (по ножу ковша)</w:t>
                  </w:r>
                </w:p>
              </w:tc>
              <w:tc>
                <w:tcPr>
                  <w:tcW w:w="60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Не более 3520</w:t>
                  </w:r>
                </w:p>
              </w:tc>
            </w:tr>
            <w:tr w:rsidR="00A104B1">
              <w:trPr>
                <w:gridAfter w:val="1"/>
                <w:wAfter w:w="10" w:type="dxa"/>
              </w:trPr>
              <w:tc>
                <w:tcPr>
                  <w:tcW w:w="3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</w:rPr>
                  </w:pPr>
                  <w:r>
                    <w:rPr>
                      <w:rStyle w:val="FontStyle15"/>
                      <w:lang w:eastAsia="en-US"/>
                    </w:rPr>
                    <w:t>Ширина (по ковшу)</w:t>
                  </w:r>
                </w:p>
              </w:tc>
              <w:tc>
                <w:tcPr>
                  <w:tcW w:w="60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Не более 2120</w:t>
                  </w:r>
                </w:p>
              </w:tc>
            </w:tr>
            <w:tr w:rsidR="00A104B1">
              <w:trPr>
                <w:gridAfter w:val="1"/>
                <w:wAfter w:w="10" w:type="dxa"/>
              </w:trPr>
              <w:tc>
                <w:tcPr>
                  <w:tcW w:w="3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</w:rPr>
                  </w:pPr>
                  <w:r>
                    <w:rPr>
                      <w:rStyle w:val="FontStyle15"/>
                      <w:lang w:eastAsia="en-US"/>
                    </w:rPr>
                    <w:t>высота (по проблесковому маяку)</w:t>
                  </w:r>
                </w:p>
              </w:tc>
              <w:tc>
                <w:tcPr>
                  <w:tcW w:w="60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Не более 2450</w:t>
                  </w:r>
                </w:p>
              </w:tc>
            </w:tr>
            <w:tr w:rsidR="00A104B1">
              <w:trPr>
                <w:gridAfter w:val="1"/>
                <w:wAfter w:w="10" w:type="dxa"/>
              </w:trPr>
              <w:tc>
                <w:tcPr>
                  <w:tcW w:w="3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</w:rPr>
                  </w:pPr>
                  <w:r>
                    <w:rPr>
                      <w:rStyle w:val="FontStyle15"/>
                      <w:lang w:eastAsia="en-US"/>
                    </w:rPr>
                    <w:t>высота (по крыше кабины)</w:t>
                  </w:r>
                </w:p>
              </w:tc>
              <w:tc>
                <w:tcPr>
                  <w:tcW w:w="60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04B1" w:rsidRDefault="00A104B1">
                  <w:pPr>
                    <w:pStyle w:val="Style4"/>
                    <w:widowControl/>
                    <w:spacing w:line="240" w:lineRule="auto"/>
                    <w:rPr>
                      <w:rStyle w:val="FontStyle15"/>
                      <w:lang w:eastAsia="en-US"/>
                    </w:rPr>
                  </w:pPr>
                  <w:r>
                    <w:rPr>
                      <w:rStyle w:val="FontStyle15"/>
                      <w:lang w:eastAsia="en-US"/>
                    </w:rPr>
                    <w:t>Не более 2290</w:t>
                  </w:r>
                </w:p>
              </w:tc>
            </w:tr>
          </w:tbl>
          <w:p w:rsidR="00A104B1" w:rsidRDefault="00A104B1">
            <w:pPr>
              <w:tabs>
                <w:tab w:val="left" w:pos="6555"/>
              </w:tabs>
              <w:jc w:val="both"/>
              <w:rPr>
                <w:sz w:val="22"/>
                <w:szCs w:val="22"/>
              </w:rPr>
            </w:pPr>
          </w:p>
        </w:tc>
      </w:tr>
      <w:tr w:rsidR="00A104B1" w:rsidTr="00A104B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B1" w:rsidRDefault="00A104B1">
            <w:pPr>
              <w:tabs>
                <w:tab w:val="left" w:pos="6555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Дополнительное оборудование 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B1" w:rsidRDefault="00A104B1">
            <w:pPr>
              <w:tabs>
                <w:tab w:val="left" w:pos="65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Ковш 211.45.01.000:объемом не менее 0,59м3; щетка в сборе 208.46.07.010-01: ширина очищаемой полосы (прямо/повернута), мм – 1900/1650, угол поворота щетки – 30 градусов, привод вращения щетки – гидромотор, габаритные размеры щетки, мм – 1190*2320*785, масса, кг – 320;  бетоносмеситель гравитационный 208.46.35.000: объем по загрузке, л – 375, объем замеса, л – 250, время перемешивания смеси, мин – 3, габаритные размеры, мм – 1605*1030*965; снегоочиститель фрезерно-роторный 208.46.55.000: производительность, т/ч – 100, ширина захвата, мм – 2030, дальность </w:t>
            </w:r>
            <w:r>
              <w:rPr>
                <w:sz w:val="22"/>
                <w:szCs w:val="22"/>
              </w:rPr>
              <w:lastRenderedPageBreak/>
              <w:t xml:space="preserve">отброса снега, м – 6, высота убираемого слоя снега, мм – 300, габаритные размеры, мм – 1320*2030*1850, масса, кг – 510. </w:t>
            </w:r>
          </w:p>
        </w:tc>
      </w:tr>
      <w:tr w:rsidR="00A104B1" w:rsidTr="00A104B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B1" w:rsidRDefault="00A104B1">
            <w:pPr>
              <w:tabs>
                <w:tab w:val="left" w:pos="6555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Базис поставки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B1" w:rsidRDefault="007C6BB0">
            <w:pPr>
              <w:tabs>
                <w:tab w:val="left" w:pos="6555"/>
              </w:tabs>
              <w:jc w:val="both"/>
              <w:rPr>
                <w:sz w:val="22"/>
                <w:szCs w:val="22"/>
              </w:rPr>
            </w:pPr>
            <w:r w:rsidRPr="007C6BB0">
              <w:rPr>
                <w:sz w:val="22"/>
                <w:szCs w:val="22"/>
              </w:rPr>
              <w:t>ХМАО-Югра, г. Урай, проезд 7, подъезд 45</w:t>
            </w:r>
          </w:p>
        </w:tc>
      </w:tr>
      <w:tr w:rsidR="00A104B1" w:rsidTr="00A104B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B1" w:rsidRDefault="00A104B1">
            <w:pPr>
              <w:tabs>
                <w:tab w:val="left" w:pos="6555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Общее количество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B1" w:rsidRDefault="00A104B1">
            <w:pPr>
              <w:tabs>
                <w:tab w:val="left" w:pos="65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ед.</w:t>
            </w:r>
          </w:p>
        </w:tc>
      </w:tr>
      <w:tr w:rsidR="00A104B1" w:rsidTr="00A104B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B1" w:rsidRDefault="00A104B1">
            <w:pPr>
              <w:tabs>
                <w:tab w:val="left" w:pos="6555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выпуска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B1" w:rsidRDefault="00A104B1">
            <w:pPr>
              <w:tabs>
                <w:tab w:val="left" w:pos="65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A104B1" w:rsidTr="00A104B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B1" w:rsidRDefault="00A104B1">
            <w:pPr>
              <w:tabs>
                <w:tab w:val="left" w:pos="6555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поставки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B1" w:rsidRDefault="00B94F5B">
            <w:pPr>
              <w:tabs>
                <w:tab w:val="left" w:pos="655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>квартал</w:t>
            </w:r>
            <w:bookmarkStart w:id="0" w:name="_GoBack"/>
            <w:bookmarkEnd w:id="0"/>
            <w:r w:rsidR="00A104B1">
              <w:rPr>
                <w:sz w:val="22"/>
                <w:szCs w:val="22"/>
              </w:rPr>
              <w:t xml:space="preserve"> 2024г.</w:t>
            </w:r>
          </w:p>
        </w:tc>
      </w:tr>
    </w:tbl>
    <w:p w:rsidR="006F5DBF" w:rsidRDefault="006F5DBF" w:rsidP="007C6BB0"/>
    <w:sectPr w:rsidR="006F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42"/>
    <w:rsid w:val="004D2242"/>
    <w:rsid w:val="006F5DBF"/>
    <w:rsid w:val="007C6BB0"/>
    <w:rsid w:val="00A104B1"/>
    <w:rsid w:val="00B94F5B"/>
    <w:rsid w:val="00C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8E37"/>
  <w15:chartTrackingRefBased/>
  <w15:docId w15:val="{14A99600-4DBF-4459-ABE4-7E458CF7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A104B1"/>
    <w:pPr>
      <w:widowControl w:val="0"/>
      <w:autoSpaceDE w:val="0"/>
      <w:autoSpaceDN w:val="0"/>
      <w:adjustRightInd w:val="0"/>
      <w:spacing w:line="234" w:lineRule="exact"/>
      <w:ind w:firstLine="698"/>
      <w:jc w:val="both"/>
    </w:pPr>
  </w:style>
  <w:style w:type="paragraph" w:customStyle="1" w:styleId="Style4">
    <w:name w:val="Style4"/>
    <w:basedOn w:val="a"/>
    <w:rsid w:val="00A104B1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5">
    <w:name w:val="Font Style15"/>
    <w:basedOn w:val="a0"/>
    <w:rsid w:val="00A104B1"/>
    <w:rPr>
      <w:rFonts w:ascii="Times New Roman" w:hAnsi="Times New Roman" w:cs="Times New Roman" w:hint="default"/>
      <w:sz w:val="18"/>
      <w:szCs w:val="18"/>
    </w:rPr>
  </w:style>
  <w:style w:type="table" w:styleId="a3">
    <w:name w:val="Table Grid"/>
    <w:basedOn w:val="a1"/>
    <w:rsid w:val="00A10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7C6BB0"/>
    <w:pPr>
      <w:suppressAutoHyphens/>
      <w:spacing w:after="120"/>
    </w:pPr>
    <w:rPr>
      <w:kern w:val="1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7C6BB0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7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Чернышов</dc:creator>
  <cp:keywords/>
  <dc:description/>
  <cp:lastModifiedBy>Жук Андрей Леонидович</cp:lastModifiedBy>
  <cp:revision>4</cp:revision>
  <dcterms:created xsi:type="dcterms:W3CDTF">2024-05-20T09:51:00Z</dcterms:created>
  <dcterms:modified xsi:type="dcterms:W3CDTF">2024-09-10T12:13:00Z</dcterms:modified>
</cp:coreProperties>
</file>