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 xml:space="preserve">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Диджитал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Клауд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2B13C2FD" w:rsidR="00E85F88" w:rsidRDefault="00EB2F72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cs="Arial"/>
                <w:sz w:val="24"/>
                <w:szCs w:val="24"/>
              </w:rPr>
            </w:pPr>
            <w:hyperlink r:id="rId8" w:history="1">
              <w:r w:rsidR="00E85F88" w:rsidRPr="00581429">
                <w:rPr>
                  <w:rStyle w:val="a4"/>
                  <w:rFonts w:cs="Arial"/>
                  <w:sz w:val="24"/>
                  <w:szCs w:val="24"/>
                </w:rPr>
                <w:t>zakupki@inno.tech</w:t>
              </w:r>
            </w:hyperlink>
          </w:p>
          <w:p w14:paraId="302C2879" w14:textId="79916A71" w:rsidR="009B3718" w:rsidRPr="009B3718" w:rsidRDefault="009B371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</w:rPr>
            </w:pPr>
            <w:proofErr w:type="spellStart"/>
            <w:r w:rsidRPr="009B3718">
              <w:rPr>
                <w:rStyle w:val="a4"/>
              </w:rPr>
              <w:t>IKaplina@inno.tech</w:t>
            </w:r>
            <w:proofErr w:type="spellEnd"/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74B42C9B" w:rsidR="00E85F88" w:rsidRPr="00581429" w:rsidRDefault="00E85F88" w:rsidP="009B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>Запрос цен</w:t>
            </w:r>
            <w:r w:rsidR="009B371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81429" w:rsidRPr="003F5AA2">
              <w:rPr>
                <w:rFonts w:cs="Arial"/>
                <w:b/>
                <w:sz w:val="24"/>
                <w:szCs w:val="24"/>
              </w:rPr>
              <w:t>на</w:t>
            </w:r>
            <w:r w:rsidR="009B3718" w:rsidRPr="009B3718">
              <w:rPr>
                <w:rFonts w:cs="Arial"/>
                <w:bCs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9B3718" w:rsidRPr="009B3718">
              <w:rPr>
                <w:rFonts w:cs="Arial"/>
                <w:b/>
                <w:sz w:val="24"/>
                <w:szCs w:val="24"/>
              </w:rPr>
              <w:t xml:space="preserve">поставку межсетевого экрана </w:t>
            </w:r>
            <w:proofErr w:type="spellStart"/>
            <w:r w:rsidR="009B3718" w:rsidRPr="009B3718">
              <w:rPr>
                <w:rFonts w:cs="Arial"/>
                <w:b/>
                <w:sz w:val="24"/>
                <w:szCs w:val="24"/>
              </w:rPr>
              <w:t>Palo</w:t>
            </w:r>
            <w:proofErr w:type="spellEnd"/>
            <w:r w:rsidR="009B3718" w:rsidRPr="009B371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9B3718" w:rsidRPr="009B3718">
              <w:rPr>
                <w:rFonts w:cs="Arial"/>
                <w:b/>
                <w:sz w:val="24"/>
                <w:szCs w:val="24"/>
              </w:rPr>
              <w:t>Alto</w:t>
            </w:r>
            <w:proofErr w:type="spellEnd"/>
            <w:r w:rsidR="009B3718" w:rsidRPr="009B371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9B3718" w:rsidRPr="009B3718">
              <w:rPr>
                <w:rFonts w:cs="Arial"/>
                <w:b/>
                <w:sz w:val="24"/>
                <w:szCs w:val="24"/>
              </w:rPr>
              <w:t>Networks</w:t>
            </w:r>
            <w:proofErr w:type="spellEnd"/>
            <w:r w:rsidR="009B3718" w:rsidRPr="009B3718">
              <w:rPr>
                <w:rFonts w:cs="Arial"/>
                <w:b/>
                <w:sz w:val="24"/>
                <w:szCs w:val="24"/>
              </w:rPr>
              <w:t xml:space="preserve"> PA-5440, неисключительного прав</w:t>
            </w:r>
            <w:r w:rsidR="009B3718">
              <w:rPr>
                <w:rFonts w:cs="Arial"/>
                <w:b/>
                <w:sz w:val="24"/>
                <w:szCs w:val="24"/>
              </w:rPr>
              <w:t>а</w:t>
            </w:r>
            <w:r w:rsidR="009B3718" w:rsidRPr="009B3718">
              <w:rPr>
                <w:rFonts w:cs="Arial"/>
                <w:b/>
                <w:sz w:val="24"/>
                <w:szCs w:val="24"/>
              </w:rPr>
              <w:t xml:space="preserve"> использования программы для ЭВМ «Автоматизированная информационная система PARUS SECURITY CLOUD» и технической поддержки.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34D7AA76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B3718" w:rsidRPr="009B3718">
              <w:rPr>
                <w:rFonts w:cs="Arial"/>
                <w:sz w:val="24"/>
                <w:szCs w:val="24"/>
              </w:rPr>
              <w:t>Росэлторг.Бизнес</w:t>
            </w:r>
            <w:proofErr w:type="spellEnd"/>
            <w:r w:rsidR="009B3718" w:rsidRPr="009B3718">
              <w:rPr>
                <w:rFonts w:cs="Arial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lastRenderedPageBreak/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11B08FB2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</w:p>
          <w:p w14:paraId="6C66E858" w14:textId="76E1EA28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00B78C48" w14:textId="680A9F74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A1657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</w:t>
            </w:r>
            <w:proofErr w:type="gramStart"/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;</w:t>
            </w:r>
            <w:proofErr w:type="gramEnd"/>
          </w:p>
          <w:p w14:paraId="74A079F0" w14:textId="129D72D1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10079CE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3BCB8C16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6BE590FC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proofErr w:type="gramStart"/>
            <w:r w:rsidRPr="008E6073">
              <w:rPr>
                <w:rFonts w:cs="Arial"/>
                <w:sz w:val="24"/>
                <w:szCs w:val="24"/>
              </w:rPr>
              <w:t xml:space="preserve">–  </w:t>
            </w:r>
            <w:r w:rsidR="00CF73A5">
              <w:rPr>
                <w:rFonts w:cs="Arial"/>
                <w:b/>
                <w:sz w:val="24"/>
                <w:szCs w:val="24"/>
              </w:rPr>
              <w:t>100</w:t>
            </w:r>
            <w:proofErr w:type="gramEnd"/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64DC6FAA" w14:textId="245CED37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7C7130F2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0E34D4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  <w:p w14:paraId="0A0D6842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77777777" w:rsidR="008E6073" w:rsidRPr="00052BA3" w:rsidRDefault="008E6073" w:rsidP="00CF73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B45292" w14:textId="7CE23AFC" w:rsidR="005C4B30" w:rsidRPr="00D25D87" w:rsidRDefault="00F06049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4837686C" w14:textId="77777777" w:rsidR="005C2E34" w:rsidRDefault="005C2E34" w:rsidP="005C2E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A282797" w14:textId="591EFE77" w:rsidR="005C4B30" w:rsidRPr="005C4B30" w:rsidRDefault="0071569D" w:rsidP="00D25D87">
            <w:pPr>
              <w:pStyle w:val="a"/>
              <w:numPr>
                <w:ilvl w:val="0"/>
                <w:numId w:val="0"/>
              </w:numPr>
              <w:tabs>
                <w:tab w:val="clear" w:pos="502"/>
                <w:tab w:val="clear" w:pos="1070"/>
                <w:tab w:val="left" w:pos="29"/>
                <w:tab w:val="left" w:pos="1276"/>
              </w:tabs>
              <w:spacing w:before="120" w:after="120" w:line="240" w:lineRule="auto"/>
              <w:ind w:left="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36A365C5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3.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>
              <w:rPr>
                <w:rFonts w:cs="Arial"/>
                <w:sz w:val="24"/>
                <w:szCs w:val="24"/>
              </w:rPr>
              <w:t xml:space="preserve"> Заказчика</w:t>
            </w:r>
          </w:p>
        </w:tc>
      </w:tr>
      <w:tr w:rsidR="008E6073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6859FCA2" w:rsidR="008E6073" w:rsidRPr="001453E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4.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 w:rsidRPr="001453E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3779EA3F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5.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6.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0ACA0236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7. Форма согласия на обработку персональных данных  </w:t>
            </w:r>
          </w:p>
        </w:tc>
      </w:tr>
      <w:tr w:rsidR="008576C0" w:rsidRPr="008E6073" w14:paraId="44E2A002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89308C2" w14:textId="77777777" w:rsidR="008576C0" w:rsidRPr="008E6073" w:rsidRDefault="008576C0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BC3E2DB" w14:textId="3C203E64" w:rsidR="008576C0" w:rsidRPr="008E6073" w:rsidRDefault="008576C0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8. </w:t>
            </w:r>
            <w:r w:rsidRPr="00C32015">
              <w:rPr>
                <w:rFonts w:cs="Arial"/>
                <w:sz w:val="24"/>
                <w:szCs w:val="24"/>
              </w:rPr>
              <w:t>Презентация Холдинг Т1</w:t>
            </w:r>
          </w:p>
        </w:tc>
      </w:tr>
      <w:tr w:rsidR="008E6073" w:rsidRPr="008E6073" w14:paraId="5C49F26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70116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57AB0D" w14:textId="5F5C5DA0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60C284" w14:textId="5547C9D1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14:paraId="65E7C5E5" w14:textId="77777777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56CD346B" w14:textId="0E5E411D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F4AF9B" w14:textId="56019E6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5DD9C" w14:textId="22B3728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C879E" w14:textId="022BA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EBB0721" w14:textId="480D68E3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57DAC86" w14:textId="0150654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44A0B0C" w14:textId="27966BF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B85580" w14:textId="4AB4F29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CB8058" w14:textId="0C07829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AA84A" w14:textId="5A86DDE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2FB912E" w14:textId="07FD5646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CE376A1" w14:textId="5D4AB5A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626A018" w14:textId="62D8762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539DAA3" w14:textId="37856D9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4CA138C" w14:textId="275CA59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84999DA" w14:textId="2AA00DA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95247" w14:textId="071662F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0E01453" w14:textId="2F785F2A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37E78BC7" w14:textId="48EA1524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739DEF1" w14:textId="622AADB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577ACF" w14:textId="290F2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460BAC2" w14:textId="4DE96FC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F721431" w14:textId="267D48AF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F5A33D9" w14:textId="3283D03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5D8AE26" w14:textId="649D903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66F1E0AA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Указать название ЭТП и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34A26977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  <w:r w:rsidR="00FF3E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FF3EDF" w:rsidRPr="00863721" w14:paraId="759C61E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13" w14:textId="43AEF340" w:rsidR="00FF3EDF" w:rsidRDefault="00FF3EDF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CDC" w14:textId="40E36631" w:rsidR="00FF3EDF" w:rsidRPr="00730B6B" w:rsidRDefault="00FF3EDF" w:rsidP="00FF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10" w14:textId="22686789" w:rsidR="00FF3EDF" w:rsidRPr="00C32015" w:rsidRDefault="00FF3EDF" w:rsidP="00FF3EDF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Т1,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которы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гут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быть интересн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и контактн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лицо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к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ому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можно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обратиться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 w:rsidR="006D34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 w:rsidR="00630DC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C32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54CC9227" w:rsidR="004625C1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0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70EA9" w14:textId="31B8A314" w:rsidR="00C0311D" w:rsidRPr="00C0311D" w:rsidRDefault="00C0311D" w:rsidP="00C0311D">
      <w:pPr>
        <w:rPr>
          <w:rFonts w:ascii="Arial" w:hAnsi="Arial" w:cs="Arial"/>
          <w:b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t>Приложение 3</w:t>
      </w:r>
    </w:p>
    <w:p w14:paraId="6AF259D7" w14:textId="1DC02782" w:rsidR="00C0311D" w:rsidRDefault="00C0311D" w:rsidP="00CF73A5">
      <w:pPr>
        <w:rPr>
          <w:noProof/>
        </w:rPr>
      </w:pPr>
      <w:r w:rsidRPr="00C0311D">
        <w:rPr>
          <w:rFonts w:ascii="Arial" w:hAnsi="Arial" w:cs="Arial"/>
          <w:b/>
          <w:sz w:val="24"/>
          <w:szCs w:val="24"/>
        </w:rPr>
        <w:t xml:space="preserve">ПРОЕКТ ДОГОВОРА </w:t>
      </w:r>
      <w:r>
        <w:rPr>
          <w:rFonts w:ascii="Arial" w:hAnsi="Arial" w:cs="Arial"/>
          <w:b/>
          <w:sz w:val="24"/>
          <w:szCs w:val="24"/>
        </w:rPr>
        <w:t>ЗАКАЗЧИКА</w:t>
      </w:r>
      <w:r w:rsidRPr="00C0311D">
        <w:rPr>
          <w:rFonts w:ascii="Arial" w:hAnsi="Arial" w:cs="Arial"/>
          <w:b/>
          <w:sz w:val="24"/>
          <w:szCs w:val="24"/>
        </w:rPr>
        <w:t xml:space="preserve">/ </w:t>
      </w: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179F99" w14:textId="073251FB" w:rsidR="00BF124A" w:rsidRPr="00BF124A" w:rsidRDefault="00BF124A" w:rsidP="00BF124A">
      <w:pPr>
        <w:rPr>
          <w:rFonts w:ascii="Arial" w:hAnsi="Arial" w:cs="Arial"/>
          <w:b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14:paraId="51FE86C1" w14:textId="7269C2FA" w:rsidR="00BF124A" w:rsidRPr="007742C9" w:rsidRDefault="00BF124A" w:rsidP="007742C9">
      <w:pPr>
        <w:rPr>
          <w:rFonts w:ascii="Arial" w:hAnsi="Arial" w:cs="Arial"/>
          <w:b/>
          <w:color w:val="FF0000"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 xml:space="preserve">СОГЛАСИЕ С УСЛОВИЯМИ ПРОЕКТА ДОГОВОРА </w:t>
      </w:r>
      <w:r w:rsidR="007742C9">
        <w:rPr>
          <w:rFonts w:ascii="Arial" w:hAnsi="Arial" w:cs="Arial"/>
          <w:b/>
          <w:sz w:val="24"/>
          <w:szCs w:val="24"/>
        </w:rPr>
        <w:t>ОТ</w:t>
      </w:r>
      <w:r w:rsidRPr="00BF124A">
        <w:rPr>
          <w:rFonts w:ascii="Arial" w:hAnsi="Arial" w:cs="Arial"/>
          <w:b/>
          <w:sz w:val="24"/>
          <w:szCs w:val="24"/>
        </w:rPr>
        <w:t xml:space="preserve"> ДД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>ММ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 xml:space="preserve">ГГ 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7742C9">
        <w:rPr>
          <w:rFonts w:ascii="Arial" w:hAnsi="Arial" w:cs="Arial"/>
          <w:i/>
          <w:color w:val="0070C0"/>
          <w:sz w:val="24"/>
          <w:szCs w:val="24"/>
        </w:rPr>
        <w:t>У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7742C9">
        <w:rPr>
          <w:rFonts w:ascii="Arial" w:hAnsi="Arial" w:cs="Arial"/>
          <w:i/>
          <w:color w:val="0070C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310EE41" w14:textId="77777777" w:rsidR="00AE0A7E" w:rsidRPr="00AE0A7E" w:rsidRDefault="00AE0A7E" w:rsidP="00AE0A7E">
      <w:pPr>
        <w:pStyle w:val="a9"/>
        <w:ind w:left="720"/>
        <w:rPr>
          <w:rFonts w:ascii="Arial" w:hAnsi="Arial"/>
          <w:b/>
        </w:rPr>
      </w:pPr>
    </w:p>
    <w:p w14:paraId="1025310D" w14:textId="462669AE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4DE3F7C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</w:t>
      </w:r>
      <w:r w:rsidRPr="00C240D2">
        <w:rPr>
          <w:rFonts w:ascii="Arial" w:hAnsi="Arial" w:cs="Arial"/>
          <w:sz w:val="24"/>
          <w:szCs w:val="24"/>
        </w:rPr>
        <w:t xml:space="preserve"> </w:t>
      </w:r>
    </w:p>
    <w:p w14:paraId="3DA50653" w14:textId="77777777" w:rsidR="00C240D2" w:rsidRPr="00BC2135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EF07C1C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6AD635D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</w:p>
    <w:p w14:paraId="36DC095E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предмет закупки)</w:t>
      </w:r>
      <w:r w:rsidRPr="00C240D2">
        <w:rPr>
          <w:rFonts w:ascii="Arial" w:hAnsi="Arial" w:cs="Arial"/>
          <w:sz w:val="24"/>
          <w:szCs w:val="24"/>
        </w:rPr>
        <w:t xml:space="preserve">, 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наименование Участника закупочной процедуры)</w:t>
      </w:r>
      <w:r w:rsidRPr="00C240D2">
        <w:rPr>
          <w:rFonts w:ascii="Arial" w:hAnsi="Arial" w:cs="Arial"/>
          <w:sz w:val="24"/>
          <w:szCs w:val="24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3465B483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</w:t>
      </w:r>
      <w:r w:rsidR="00F752A2">
        <w:rPr>
          <w:rFonts w:ascii="Arial" w:hAnsi="Arial" w:cs="Arial"/>
          <w:sz w:val="24"/>
          <w:szCs w:val="24"/>
        </w:rPr>
        <w:t>п</w:t>
      </w:r>
      <w:r w:rsidRPr="00C240D2">
        <w:rPr>
          <w:rFonts w:ascii="Arial" w:hAnsi="Arial" w:cs="Arial"/>
          <w:sz w:val="24"/>
          <w:szCs w:val="24"/>
        </w:rPr>
        <w:t>редложении.</w:t>
      </w:r>
    </w:p>
    <w:p w14:paraId="0648AD1B" w14:textId="77777777" w:rsidR="00C240D2" w:rsidRDefault="00C240D2" w:rsidP="00C240D2"/>
    <w:p w14:paraId="2D25901E" w14:textId="77777777" w:rsidR="00C240D2" w:rsidRDefault="00C240D2" w:rsidP="00C240D2"/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B60140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B60140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B60140" w14:paraId="1B411610" w14:textId="77777777" w:rsidTr="00BD75A0">
        <w:tc>
          <w:tcPr>
            <w:tcW w:w="3972" w:type="dxa"/>
          </w:tcPr>
          <w:p w14:paraId="4A320F7E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8229B" w14:textId="77777777" w:rsidR="00C240D2" w:rsidRPr="00AC69A6" w:rsidRDefault="00C240D2" w:rsidP="00C240D2"/>
    <w:p w14:paraId="0C545008" w14:textId="77777777" w:rsidR="00C240D2" w:rsidRPr="00AC69A6" w:rsidRDefault="00C240D2" w:rsidP="00C240D2"/>
    <w:p w14:paraId="198EED78" w14:textId="77777777" w:rsidR="00C240D2" w:rsidRPr="00AC69A6" w:rsidRDefault="00C240D2" w:rsidP="00C240D2"/>
    <w:p w14:paraId="52ADF8A8" w14:textId="77777777" w:rsidR="00BC18EC" w:rsidRDefault="00BC18EC" w:rsidP="00B6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2926DB0B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14:paraId="28F671A5" w14:textId="2F269EEB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77777777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113"/>
        <w:gridCol w:w="1804"/>
        <w:gridCol w:w="2551"/>
      </w:tblGrid>
      <w:tr w:rsidR="00C240D2" w:rsidRPr="001D0638" w14:paraId="73D550D5" w14:textId="77777777" w:rsidTr="00873BC7">
        <w:tc>
          <w:tcPr>
            <w:tcW w:w="733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13" w:type="dxa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551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873BC7">
        <w:tc>
          <w:tcPr>
            <w:tcW w:w="733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14:paraId="43557B4A" w14:textId="5836A6B9" w:rsidR="00C240D2" w:rsidRPr="00817EC0" w:rsidRDefault="00C240D2" w:rsidP="00BD75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CF73A5">
              <w:rPr>
                <w:rFonts w:ascii="Arial" w:hAnsi="Arial" w:cs="Arial"/>
                <w:color w:val="FF0000"/>
                <w:sz w:val="24"/>
                <w:szCs w:val="24"/>
              </w:rPr>
              <w:t xml:space="preserve">70 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>млн. руб. за</w:t>
            </w:r>
            <w:r w:rsidR="00581EF9">
              <w:rPr>
                <w:rFonts w:ascii="Arial" w:hAnsi="Arial" w:cs="Arial"/>
                <w:color w:val="FF0000"/>
                <w:sz w:val="24"/>
                <w:szCs w:val="24"/>
              </w:rPr>
              <w:t xml:space="preserve"> 2023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1804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D31075B" w14:textId="4FBB38AE" w:rsidR="00C240D2" w:rsidRPr="001D0638" w:rsidRDefault="00BF10A9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 бухгалтерского баланса</w:t>
            </w:r>
          </w:p>
        </w:tc>
      </w:tr>
      <w:tr w:rsidR="00C240D2" w:rsidRPr="001D0638" w14:paraId="4F28C737" w14:textId="77777777" w:rsidTr="00873BC7">
        <w:tc>
          <w:tcPr>
            <w:tcW w:w="733" w:type="dxa"/>
            <w:shd w:val="clear" w:color="auto" w:fill="auto"/>
          </w:tcPr>
          <w:p w14:paraId="2DCE79AD" w14:textId="33B1FD37" w:rsidR="00C240D2" w:rsidRPr="001D0638" w:rsidRDefault="0034472B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3" w:type="dxa"/>
            <w:shd w:val="clear" w:color="auto" w:fill="auto"/>
          </w:tcPr>
          <w:p w14:paraId="651EB04C" w14:textId="1D0E99BD" w:rsidR="00C240D2" w:rsidRPr="00817EC0" w:rsidRDefault="00C240D2" w:rsidP="00BD75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1EF9">
              <w:rPr>
                <w:rFonts w:ascii="Arial" w:hAnsi="Arial" w:cs="Arial"/>
                <w:sz w:val="24"/>
                <w:szCs w:val="24"/>
              </w:rPr>
              <w:t>Согласие с условиями проекта договора</w:t>
            </w:r>
            <w:r w:rsidR="00817EC0" w:rsidRPr="00581EF9">
              <w:rPr>
                <w:rFonts w:ascii="Arial" w:hAnsi="Arial" w:cs="Arial"/>
                <w:sz w:val="24"/>
                <w:szCs w:val="24"/>
              </w:rPr>
              <w:t xml:space="preserve"> Заказчика</w:t>
            </w:r>
            <w:r w:rsidRPr="00581EF9">
              <w:rPr>
                <w:rFonts w:ascii="Arial" w:hAnsi="Arial" w:cs="Arial"/>
                <w:sz w:val="24"/>
                <w:szCs w:val="24"/>
              </w:rPr>
              <w:t xml:space="preserve"> в полном объеме</w:t>
            </w:r>
            <w:r w:rsidR="00817EC0" w:rsidRPr="00581E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F72">
              <w:rPr>
                <w:rFonts w:ascii="Arial" w:hAnsi="Arial" w:cs="Arial"/>
                <w:sz w:val="24"/>
                <w:szCs w:val="24"/>
              </w:rPr>
              <w:t>(поставка оборудования)</w:t>
            </w:r>
            <w:bookmarkStart w:id="2" w:name="_GoBack"/>
            <w:bookmarkEnd w:id="2"/>
          </w:p>
        </w:tc>
        <w:tc>
          <w:tcPr>
            <w:tcW w:w="1804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A07FAAE" w14:textId="26EC6D48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Подтверждается заполненным и подписанным Приложением</w:t>
            </w:r>
            <w:r w:rsidR="00817EC0"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4 Информационной карты закупочной процедуры</w:t>
            </w:r>
          </w:p>
        </w:tc>
      </w:tr>
    </w:tbl>
    <w:p w14:paraId="79FF56AE" w14:textId="77777777" w:rsidR="00C240D2" w:rsidRPr="00AC69A6" w:rsidRDefault="00C240D2" w:rsidP="00C240D2"/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FB1C142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419DF92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Вставьте таблицу в форму Приложения 6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4998A54B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14:paraId="2A7A4DCB" w14:textId="7440CC70" w:rsidR="004034A2" w:rsidRPr="004034A2" w:rsidRDefault="00654826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4034A2" w:rsidRPr="004034A2">
        <w:rPr>
          <w:rFonts w:ascii="Arial" w:hAnsi="Arial" w:cs="Arial"/>
          <w:b/>
          <w:sz w:val="24"/>
          <w:szCs w:val="24"/>
        </w:rPr>
        <w:t>СОГЛАСИ</w:t>
      </w:r>
      <w:r>
        <w:rPr>
          <w:rFonts w:ascii="Arial" w:hAnsi="Arial" w:cs="Arial"/>
          <w:b/>
          <w:sz w:val="24"/>
          <w:szCs w:val="24"/>
        </w:rPr>
        <w:t>Я</w:t>
      </w:r>
      <w:r w:rsidR="004034A2" w:rsidRPr="004034A2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5F1ABD03" w14:textId="77777777" w:rsidR="00512558" w:rsidRPr="00C32015" w:rsidRDefault="00512558" w:rsidP="00512558">
      <w:pPr>
        <w:spacing w:after="360" w:line="240" w:lineRule="auto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1FD21387" w14:textId="77777777" w:rsidR="00512558" w:rsidRPr="00C32015" w:rsidRDefault="00512558" w:rsidP="00512558">
      <w:pPr>
        <w:spacing w:after="36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5943EA0C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Я,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32015">
        <w:rPr>
          <w:rFonts w:ascii="Arial" w:hAnsi="Arial" w:cs="Arial"/>
          <w:sz w:val="24"/>
          <w:szCs w:val="24"/>
        </w:rPr>
        <w:t xml:space="preserve">   дата рождения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</w:p>
    <w:p w14:paraId="1D76BD8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C32015">
        <w:rPr>
          <w:rFonts w:ascii="Arial" w:hAnsi="Arial" w:cs="Arial"/>
          <w:sz w:val="24"/>
          <w:szCs w:val="24"/>
        </w:rPr>
        <w:t>ая</w:t>
      </w:r>
      <w:proofErr w:type="spellEnd"/>
      <w:r w:rsidRPr="00C32015">
        <w:rPr>
          <w:rFonts w:ascii="Arial" w:hAnsi="Arial" w:cs="Arial"/>
          <w:sz w:val="24"/>
          <w:szCs w:val="24"/>
        </w:rPr>
        <w:t xml:space="preserve">) по адресу (месту регистрации)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Pr="00C32015">
        <w:rPr>
          <w:rFonts w:ascii="Arial" w:hAnsi="Arial" w:cs="Arial"/>
          <w:sz w:val="24"/>
          <w:szCs w:val="24"/>
        </w:rPr>
        <w:t>паспорт серия _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 xml:space="preserve"> , номер </w:t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C32015">
        <w:rPr>
          <w:rFonts w:ascii="Arial" w:hAnsi="Arial" w:cs="Arial"/>
          <w:sz w:val="24"/>
          <w:szCs w:val="24"/>
        </w:rPr>
        <w:t xml:space="preserve">, выдан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6F52B9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539D26C1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ООО «Т1» (ИНН 7720484492)</w:t>
      </w:r>
    </w:p>
    <w:p w14:paraId="4EE4A689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111395, г. Москва, ул. Юности, д. 13 офис 221</w:t>
      </w:r>
    </w:p>
    <w:p w14:paraId="34D5A93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p w14:paraId="03CA70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12558" w:rsidRPr="00C32015" w14:paraId="2239E162" w14:textId="77777777" w:rsidTr="009B3718">
        <w:tc>
          <w:tcPr>
            <w:tcW w:w="5236" w:type="dxa"/>
            <w:shd w:val="clear" w:color="auto" w:fill="auto"/>
          </w:tcPr>
          <w:p w14:paraId="084471A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4C8E8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6A88EEB1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C3201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32015">
              <w:rPr>
                <w:rFonts w:ascii="Arial" w:hAnsi="Arial" w:cs="Arial"/>
                <w:sz w:val="24"/>
                <w:szCs w:val="24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88215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7E744EB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Перечень обрабатываемых персональных данных</w:t>
      </w:r>
    </w:p>
    <w:p w14:paraId="4EFD88B8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</w:p>
    <w:p w14:paraId="6F72CF96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 xml:space="preserve">Компания собирает и обрабатывает следующие данные </w:t>
      </w:r>
      <w:r w:rsidRPr="00C32015">
        <w:rPr>
          <w:rFonts w:ascii="Arial" w:hAnsi="Arial" w:cs="Arial"/>
          <w:sz w:val="24"/>
          <w:szCs w:val="24"/>
        </w:rPr>
        <w:t>Субъекта персональных данных</w:t>
      </w:r>
      <w:r w:rsidRPr="00C32015">
        <w:rPr>
          <w:rFonts w:ascii="Arial" w:eastAsia="Calibri" w:hAnsi="Arial" w:cs="Arial"/>
          <w:sz w:val="24"/>
          <w:szCs w:val="24"/>
        </w:rPr>
        <w:t xml:space="preserve"> </w:t>
      </w:r>
    </w:p>
    <w:p w14:paraId="2292980B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>(далее –«Персональные данные»):</w:t>
      </w:r>
    </w:p>
    <w:p w14:paraId="6CDF9CD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12558" w:rsidRPr="00C32015" w14:paraId="154B5348" w14:textId="77777777" w:rsidTr="009B3718">
        <w:tc>
          <w:tcPr>
            <w:tcW w:w="5387" w:type="dxa"/>
            <w:shd w:val="clear" w:color="auto" w:fill="auto"/>
          </w:tcPr>
          <w:p w14:paraId="59918CF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Фамилия, имя, отчество (включая прежние); дата и место рождения; пол;</w:t>
            </w:r>
          </w:p>
          <w:p w14:paraId="3FD9F9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осуществлении предпринимательской деятельности и иной коммерческой деятельности</w:t>
            </w:r>
            <w:r w:rsidRPr="00C3201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841F987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Паспортные данные или данные иного документа, удостоверяющего личность (серия, номер, дата выдачи, наименование органа,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выдавшего документ); Адрес регистрации, Гражданство </w:t>
            </w:r>
          </w:p>
          <w:p w14:paraId="060E755B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Должность, место работы </w:t>
            </w:r>
          </w:p>
          <w:p w14:paraId="73B8D835" w14:textId="77777777" w:rsidR="00512558" w:rsidRPr="00C32015" w:rsidRDefault="00512558" w:rsidP="009B3718">
            <w:pPr>
              <w:spacing w:after="0" w:line="240" w:lineRule="auto"/>
              <w:ind w:right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5C6A589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b/>
          <w:sz w:val="24"/>
          <w:szCs w:val="24"/>
        </w:rPr>
      </w:pPr>
    </w:p>
    <w:p w14:paraId="30C92AF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Операции с Персональными данными, источники их получения и срок обработки</w:t>
      </w:r>
    </w:p>
    <w:p w14:paraId="308260C2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sz w:val="24"/>
          <w:szCs w:val="24"/>
        </w:rPr>
      </w:pPr>
    </w:p>
    <w:p w14:paraId="14C6C53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2887FD6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41079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71FBDEC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Аффилированным лицам;</w:t>
      </w:r>
    </w:p>
    <w:p w14:paraId="67C5C7C5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298DC3E2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3EA07D7C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Указанные лица вправе перепоручить обработку другим лицам.</w:t>
      </w:r>
    </w:p>
    <w:p w14:paraId="2DFAC35B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8255493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 xml:space="preserve">Источники получения Персональных данных: </w:t>
      </w:r>
    </w:p>
    <w:p w14:paraId="1B2A4F11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sz w:val="24"/>
          <w:szCs w:val="24"/>
        </w:rPr>
      </w:pPr>
    </w:p>
    <w:p w14:paraId="4127F37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34B460EB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06F6E9CC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получаемые от аффилированных лиц Компании;</w:t>
      </w:r>
    </w:p>
    <w:p w14:paraId="4973E318" w14:textId="77777777" w:rsidR="00512558" w:rsidRPr="00C32015" w:rsidRDefault="00512558" w:rsidP="00512558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собираемые из общедоступных источников и/или открытых источников информации</w:t>
      </w:r>
      <w:r w:rsidRPr="00C32015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32015">
        <w:rPr>
          <w:rFonts w:ascii="Arial" w:hAnsi="Arial" w:cs="Arial"/>
          <w:sz w:val="24"/>
          <w:szCs w:val="24"/>
        </w:rPr>
        <w:t>;</w:t>
      </w:r>
    </w:p>
    <w:p w14:paraId="7DDBDB18" w14:textId="77777777" w:rsidR="00512558" w:rsidRPr="00C32015" w:rsidRDefault="00512558" w:rsidP="00512558">
      <w:pPr>
        <w:spacing w:after="0" w:line="240" w:lineRule="auto"/>
        <w:ind w:left="-426"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76711D9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Срок обработки – 5 лет с момента заключения договора с Компанией и/или предоставления Согласия</w:t>
      </w:r>
      <w:r w:rsidRPr="00C32015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C32015">
        <w:rPr>
          <w:rFonts w:ascii="Arial" w:hAnsi="Arial" w:cs="Arial"/>
          <w:bCs/>
          <w:sz w:val="24"/>
          <w:szCs w:val="24"/>
        </w:rPr>
        <w:t>.</w:t>
      </w:r>
    </w:p>
    <w:p w14:paraId="6C88AC5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5247EC3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Отзыв согласия производится посредством направления письма в произвольной форме по адресу Компании.</w:t>
      </w:r>
    </w:p>
    <w:p w14:paraId="2C3D7111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4C275B6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Дата согласия: ____________   Подпись __________________</w:t>
      </w:r>
    </w:p>
    <w:p w14:paraId="1CEABA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740F8374" w14:textId="7A4B8B38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ФИО</w:t>
      </w:r>
      <w:r w:rsidRPr="00C3201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232EACF" w14:textId="77777777" w:rsidR="00512558" w:rsidRPr="00C32015" w:rsidRDefault="00512558" w:rsidP="00512558">
      <w:pPr>
        <w:spacing w:after="0" w:line="240" w:lineRule="auto"/>
        <w:ind w:left="-426" w:righ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66CFCE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713EEC0C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403D2F79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both"/>
        <w:rPr>
          <w:rFonts w:ascii="Arial" w:hAnsi="Arial" w:cs="Arial"/>
        </w:rPr>
      </w:pPr>
      <w:r w:rsidRPr="0045530D">
        <w:rPr>
          <w:rFonts w:ascii="Arial" w:hAnsi="Arial" w:cs="Arial"/>
        </w:rPr>
        <w:t xml:space="preserve">Приложение: перечень третьих лиц, привлекаемых к обработке Персональных данных </w:t>
      </w:r>
    </w:p>
    <w:p w14:paraId="06530270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center"/>
        <w:rPr>
          <w:rFonts w:ascii="Arial" w:hAnsi="Arial" w:cs="Arial"/>
        </w:rPr>
      </w:pPr>
    </w:p>
    <w:p w14:paraId="39912F1F" w14:textId="77777777" w:rsidR="00512558" w:rsidRPr="0045530D" w:rsidRDefault="00512558" w:rsidP="00512558">
      <w:pPr>
        <w:spacing w:after="0" w:line="240" w:lineRule="auto"/>
        <w:ind w:left="540" w:firstLine="567"/>
        <w:jc w:val="center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12558" w:rsidRPr="0045530D" w14:paraId="0DC3B79D" w14:textId="77777777" w:rsidTr="009B3718">
        <w:trPr>
          <w:trHeight w:val="49"/>
        </w:trPr>
        <w:tc>
          <w:tcPr>
            <w:tcW w:w="567" w:type="dxa"/>
            <w:shd w:val="clear" w:color="auto" w:fill="auto"/>
          </w:tcPr>
          <w:p w14:paraId="11C98717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7B503420" w14:textId="77777777" w:rsidR="00512558" w:rsidRPr="0045530D" w:rsidRDefault="00512558" w:rsidP="009B3718">
            <w:pPr>
              <w:spacing w:after="0" w:line="240" w:lineRule="auto"/>
              <w:ind w:left="-114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Описание необходимости привлечения к обработке</w:t>
            </w:r>
          </w:p>
          <w:p w14:paraId="4EECA75C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96" w:type="dxa"/>
            <w:shd w:val="clear" w:color="auto" w:fill="auto"/>
          </w:tcPr>
          <w:p w14:paraId="67DD5873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 xml:space="preserve">Наименование, ИНН </w:t>
            </w:r>
          </w:p>
          <w:p w14:paraId="3197206D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и адрес компании</w:t>
            </w:r>
          </w:p>
        </w:tc>
      </w:tr>
      <w:tr w:rsidR="00512558" w:rsidRPr="0045530D" w14:paraId="67122371" w14:textId="77777777" w:rsidTr="009B3718">
        <w:tc>
          <w:tcPr>
            <w:tcW w:w="567" w:type="dxa"/>
            <w:shd w:val="clear" w:color="auto" w:fill="auto"/>
          </w:tcPr>
          <w:p w14:paraId="2867B67D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2DD09295" w14:textId="77777777" w:rsidR="00512558" w:rsidRPr="0045530D" w:rsidRDefault="00512558" w:rsidP="009B371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594284F" w14:textId="77777777" w:rsidR="00512558" w:rsidRPr="0045530D" w:rsidRDefault="00512558" w:rsidP="009B37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«ГК «Иннотех» (123112, г. Москва, </w:t>
            </w:r>
            <w:proofErr w:type="spellStart"/>
            <w:r w:rsidRPr="0045530D">
              <w:rPr>
                <w:rFonts w:ascii="Arial" w:hAnsi="Arial" w:cs="Arial"/>
              </w:rPr>
              <w:t>вн</w:t>
            </w:r>
            <w:proofErr w:type="spellEnd"/>
            <w:r w:rsidRPr="0045530D">
              <w:rPr>
                <w:rFonts w:ascii="Arial" w:hAnsi="Arial" w:cs="Arial"/>
              </w:rPr>
              <w:t xml:space="preserve">. тер. г. Муниципальный округ Пресненский, наб. Пресненская, д. 12, этаж 63, офис 9; </w:t>
            </w:r>
            <w:r w:rsidRPr="0045530D">
              <w:rPr>
                <w:rFonts w:ascii="Arial" w:hAnsi="Arial" w:cs="Arial"/>
              </w:rPr>
              <w:br/>
              <w:t>ИНН 9703073496)</w:t>
            </w:r>
          </w:p>
          <w:p w14:paraId="0FDB31CC" w14:textId="77777777" w:rsidR="00512558" w:rsidRPr="0045530D" w:rsidRDefault="00512558" w:rsidP="009B371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48DB9BA6" w14:textId="77777777" w:rsidTr="009B3718">
        <w:trPr>
          <w:trHeight w:val="828"/>
        </w:trPr>
        <w:tc>
          <w:tcPr>
            <w:tcW w:w="567" w:type="dxa"/>
            <w:shd w:val="clear" w:color="auto" w:fill="auto"/>
          </w:tcPr>
          <w:p w14:paraId="3DE69911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528AF40C" w14:textId="77777777" w:rsidR="00512558" w:rsidRPr="0045530D" w:rsidRDefault="00512558" w:rsidP="009B37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7C14627" w14:textId="77777777" w:rsidR="00512558" w:rsidRPr="0045530D" w:rsidRDefault="00512558" w:rsidP="009B37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«Т1» (111395, г. Москва, ул. Юности, д. 13, офис 221; ИНН 7720484492)</w:t>
            </w:r>
          </w:p>
          <w:p w14:paraId="0CAD1F30" w14:textId="77777777" w:rsidR="00512558" w:rsidRPr="0045530D" w:rsidRDefault="00512558" w:rsidP="009B371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68921FD2" w14:textId="77777777" w:rsidR="00512558" w:rsidRPr="0045530D" w:rsidRDefault="00512558" w:rsidP="009B371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01E286BF" w14:textId="77777777" w:rsidTr="009B3718">
        <w:trPr>
          <w:trHeight w:val="828"/>
        </w:trPr>
        <w:tc>
          <w:tcPr>
            <w:tcW w:w="567" w:type="dxa"/>
            <w:shd w:val="clear" w:color="auto" w:fill="auto"/>
          </w:tcPr>
          <w:p w14:paraId="2BEEF969" w14:textId="77777777" w:rsidR="00512558" w:rsidRPr="0045530D" w:rsidRDefault="00512558" w:rsidP="009B3718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09E2FD46" w14:textId="77777777" w:rsidR="00512558" w:rsidRPr="0045530D" w:rsidRDefault="00512558" w:rsidP="009B37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641B2EE2" w14:textId="77777777" w:rsidR="00512558" w:rsidRPr="0045530D" w:rsidRDefault="00512558" w:rsidP="009B37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«Т1 </w:t>
            </w:r>
            <w:proofErr w:type="spellStart"/>
            <w:r w:rsidRPr="0045530D">
              <w:rPr>
                <w:rFonts w:ascii="Arial" w:hAnsi="Arial" w:cs="Arial"/>
              </w:rPr>
              <w:t>Клауд</w:t>
            </w:r>
            <w:proofErr w:type="spellEnd"/>
            <w:r w:rsidRPr="0045530D">
              <w:rPr>
                <w:rFonts w:ascii="Arial" w:hAnsi="Arial" w:cs="Arial"/>
              </w:rPr>
              <w:t xml:space="preserve">» (111395, г. Москва, ул. Юности, д. 13А, </w:t>
            </w:r>
            <w:proofErr w:type="spellStart"/>
            <w:r w:rsidRPr="0045530D">
              <w:rPr>
                <w:rFonts w:ascii="Arial" w:hAnsi="Arial" w:cs="Arial"/>
              </w:rPr>
              <w:t>каб</w:t>
            </w:r>
            <w:proofErr w:type="spellEnd"/>
            <w:r w:rsidRPr="0045530D">
              <w:rPr>
                <w:rFonts w:ascii="Arial" w:hAnsi="Arial" w:cs="Arial"/>
              </w:rPr>
              <w:t>. 8; ИНН 7720479358)</w:t>
            </w:r>
          </w:p>
        </w:tc>
      </w:tr>
    </w:tbl>
    <w:p w14:paraId="6A57FD6A" w14:textId="77777777" w:rsidR="00512558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</w:rPr>
      </w:pPr>
    </w:p>
    <w:p w14:paraId="7F45E20E" w14:textId="4E66630D" w:rsidR="00AE0A7E" w:rsidRPr="001F3CA7" w:rsidRDefault="00AE0A7E" w:rsidP="00512558">
      <w:pPr>
        <w:jc w:val="both"/>
        <w:rPr>
          <w:rFonts w:ascii="Arial" w:hAnsi="Arial"/>
          <w:b/>
        </w:rPr>
      </w:pPr>
    </w:p>
    <w:sectPr w:rsidR="00AE0A7E" w:rsidRPr="001F3CA7" w:rsidSect="005814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3CD3" w14:textId="77777777" w:rsidR="009B3718" w:rsidRDefault="009B3718">
      <w:pPr>
        <w:spacing w:after="0" w:line="240" w:lineRule="auto"/>
      </w:pPr>
      <w:r>
        <w:separator/>
      </w:r>
    </w:p>
  </w:endnote>
  <w:endnote w:type="continuationSeparator" w:id="0">
    <w:p w14:paraId="6C7CDEA6" w14:textId="77777777" w:rsidR="009B3718" w:rsidRDefault="009B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9B3718" w:rsidRPr="00F56C11" w:rsidRDefault="00EB2F72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9B3718" w:rsidRPr="00F56C11">
          <w:fldChar w:fldCharType="begin"/>
        </w:r>
        <w:r w:rsidR="009B3718" w:rsidRPr="00F56C11">
          <w:instrText>PAGE   \* MERGEFORMAT</w:instrText>
        </w:r>
        <w:r w:rsidR="009B3718" w:rsidRPr="00F56C11">
          <w:fldChar w:fldCharType="separate"/>
        </w:r>
        <w:r w:rsidR="009B3718" w:rsidRPr="00F56C11">
          <w:t>2</w:t>
        </w:r>
        <w:r w:rsidR="009B3718" w:rsidRPr="00F56C11">
          <w:fldChar w:fldCharType="end"/>
        </w:r>
      </w:sdtContent>
    </w:sdt>
    <w:r w:rsidR="009B3718" w:rsidRPr="00F56C11">
      <w:t xml:space="preserve"> </w:t>
    </w:r>
  </w:p>
  <w:p w14:paraId="6EF5EEEF" w14:textId="77777777" w:rsidR="009B3718" w:rsidRDefault="009B3718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9B3718" w:rsidRPr="00536897" w:rsidRDefault="009B3718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6518" w14:textId="77777777" w:rsidR="009B3718" w:rsidRDefault="009B3718">
      <w:pPr>
        <w:spacing w:after="0" w:line="240" w:lineRule="auto"/>
      </w:pPr>
      <w:r>
        <w:separator/>
      </w:r>
    </w:p>
  </w:footnote>
  <w:footnote w:type="continuationSeparator" w:id="0">
    <w:p w14:paraId="1BF04CEE" w14:textId="77777777" w:rsidR="009B3718" w:rsidRDefault="009B3718">
      <w:pPr>
        <w:spacing w:after="0" w:line="240" w:lineRule="auto"/>
      </w:pPr>
      <w:r>
        <w:continuationSeparator/>
      </w:r>
    </w:p>
  </w:footnote>
  <w:footnote w:id="1">
    <w:p w14:paraId="4CA1B5E8" w14:textId="77777777" w:rsidR="009B3718" w:rsidRDefault="009B3718" w:rsidP="00512558">
      <w:pPr>
        <w:pStyle w:val="af7"/>
      </w:pPr>
      <w:r>
        <w:rPr>
          <w:rStyle w:val="af9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72CC736C" w14:textId="77777777" w:rsidR="009B3718" w:rsidRPr="00986725" w:rsidRDefault="009B3718" w:rsidP="00512558">
      <w:pPr>
        <w:pStyle w:val="af7"/>
        <w:ind w:right="-24"/>
        <w:rPr>
          <w:sz w:val="14"/>
          <w:szCs w:val="14"/>
        </w:rPr>
      </w:pPr>
      <w:r w:rsidRPr="00986725">
        <w:rPr>
          <w:rStyle w:val="af9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2874F6E3" w14:textId="77777777" w:rsidR="009B3718" w:rsidRDefault="009B3718" w:rsidP="00512558">
      <w:pPr>
        <w:pStyle w:val="af7"/>
      </w:pPr>
      <w:r w:rsidRPr="000524C0">
        <w:rPr>
          <w:rStyle w:val="af9"/>
          <w:rFonts w:eastAsia="SimSun"/>
          <w:sz w:val="14"/>
          <w:szCs w:val="14"/>
        </w:rPr>
        <w:footnoteRef/>
      </w:r>
      <w:r w:rsidRPr="000524C0">
        <w:rPr>
          <w:rStyle w:val="af9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9B3718" w:rsidRDefault="009B3718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9B3718" w:rsidRDefault="009B3718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9B3718" w:rsidRDefault="009B3718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A77"/>
    <w:multiLevelType w:val="hybridMultilevel"/>
    <w:tmpl w:val="36827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0CF9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80F2F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77B71"/>
    <w:rsid w:val="002A5840"/>
    <w:rsid w:val="00313085"/>
    <w:rsid w:val="00334E74"/>
    <w:rsid w:val="0034472B"/>
    <w:rsid w:val="00352359"/>
    <w:rsid w:val="0035246E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25C1"/>
    <w:rsid w:val="004653B0"/>
    <w:rsid w:val="00496685"/>
    <w:rsid w:val="00496BFC"/>
    <w:rsid w:val="004D142F"/>
    <w:rsid w:val="004E2776"/>
    <w:rsid w:val="004F207C"/>
    <w:rsid w:val="00512558"/>
    <w:rsid w:val="00542C27"/>
    <w:rsid w:val="00571A7B"/>
    <w:rsid w:val="00580615"/>
    <w:rsid w:val="00581429"/>
    <w:rsid w:val="00581EF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0DCF"/>
    <w:rsid w:val="00633A53"/>
    <w:rsid w:val="00633F03"/>
    <w:rsid w:val="006447F6"/>
    <w:rsid w:val="00653627"/>
    <w:rsid w:val="00654826"/>
    <w:rsid w:val="0065710E"/>
    <w:rsid w:val="00667056"/>
    <w:rsid w:val="006A11E3"/>
    <w:rsid w:val="006B1903"/>
    <w:rsid w:val="006B6413"/>
    <w:rsid w:val="006D1677"/>
    <w:rsid w:val="006D3472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576C0"/>
    <w:rsid w:val="00873BC7"/>
    <w:rsid w:val="008E6073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B3718"/>
    <w:rsid w:val="009C4572"/>
    <w:rsid w:val="009D01FC"/>
    <w:rsid w:val="009D64CA"/>
    <w:rsid w:val="009E21CA"/>
    <w:rsid w:val="00A2571D"/>
    <w:rsid w:val="00A2710A"/>
    <w:rsid w:val="00A2782D"/>
    <w:rsid w:val="00A56892"/>
    <w:rsid w:val="00A6057C"/>
    <w:rsid w:val="00A60C13"/>
    <w:rsid w:val="00A66A9D"/>
    <w:rsid w:val="00A710C3"/>
    <w:rsid w:val="00A82571"/>
    <w:rsid w:val="00A8737A"/>
    <w:rsid w:val="00AA1657"/>
    <w:rsid w:val="00AC028E"/>
    <w:rsid w:val="00AE0A7E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0A9"/>
    <w:rsid w:val="00BF124A"/>
    <w:rsid w:val="00C006DC"/>
    <w:rsid w:val="00C0311D"/>
    <w:rsid w:val="00C07A7A"/>
    <w:rsid w:val="00C2171C"/>
    <w:rsid w:val="00C23287"/>
    <w:rsid w:val="00C240D2"/>
    <w:rsid w:val="00C32015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CF73A5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61F25"/>
    <w:rsid w:val="00E85F88"/>
    <w:rsid w:val="00E952F1"/>
    <w:rsid w:val="00EB2F72"/>
    <w:rsid w:val="00EB78BE"/>
    <w:rsid w:val="00ED380B"/>
    <w:rsid w:val="00EF4DDC"/>
    <w:rsid w:val="00F06049"/>
    <w:rsid w:val="00F26E18"/>
    <w:rsid w:val="00F4604A"/>
    <w:rsid w:val="00F729AA"/>
    <w:rsid w:val="00F752A2"/>
    <w:rsid w:val="00F76CE9"/>
    <w:rsid w:val="00F81E33"/>
    <w:rsid w:val="00F840B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  <w:style w:type="paragraph" w:styleId="af7">
    <w:name w:val="footnote text"/>
    <w:basedOn w:val="a0"/>
    <w:link w:val="af8"/>
    <w:rsid w:val="00512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5125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aliases w:val="~PSD Footnote Reference"/>
    <w:uiPriority w:val="99"/>
    <w:rsid w:val="0051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inno.t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mpliance@t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18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Каплина Ирина Викторовна</cp:lastModifiedBy>
  <cp:revision>14</cp:revision>
  <dcterms:created xsi:type="dcterms:W3CDTF">2024-04-23T13:05:00Z</dcterms:created>
  <dcterms:modified xsi:type="dcterms:W3CDTF">2024-07-04T08:15:00Z</dcterms:modified>
</cp:coreProperties>
</file>