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AA5F9" w14:textId="436A5281" w:rsidR="00FE110E" w:rsidRDefault="00FE110E" w:rsidP="00C9445E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both"/>
        <w:rPr>
          <w:lang w:val="ru-RU"/>
        </w:rPr>
      </w:pPr>
      <w:r>
        <w:rPr>
          <w:lang w:val="ru-RU"/>
        </w:rPr>
        <w:t>Приложение 1</w:t>
      </w:r>
    </w:p>
    <w:p w14:paraId="3CED2512" w14:textId="6C0285B8" w:rsidR="00C9445E" w:rsidRPr="00AE44E9" w:rsidRDefault="00C9445E" w:rsidP="00780260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both"/>
        <w:rPr>
          <w:lang w:val="ru-RU"/>
        </w:rPr>
      </w:pPr>
      <w:r w:rsidRPr="00AE44E9">
        <w:rPr>
          <w:lang w:val="ru-RU"/>
        </w:rPr>
        <w:t>Настоящее техническое задание содержит перечень требований к оказанию услуг по технической поддержке информационных систем ООО «</w:t>
      </w:r>
      <w:r w:rsidR="00780260">
        <w:rPr>
          <w:lang w:val="ru-RU"/>
        </w:rPr>
        <w:t>АГР</w:t>
      </w:r>
      <w:r w:rsidRPr="00AE44E9">
        <w:rPr>
          <w:lang w:val="ru-RU"/>
        </w:rPr>
        <w:t xml:space="preserve">» </w:t>
      </w:r>
      <w:r>
        <w:rPr>
          <w:lang w:val="ru-RU"/>
        </w:rPr>
        <w:t xml:space="preserve">на платформе </w:t>
      </w:r>
      <w:r>
        <w:rPr>
          <w:lang w:val="en-US"/>
        </w:rPr>
        <w:t>Oracle</w:t>
      </w:r>
      <w:r w:rsidRPr="00AE44E9">
        <w:rPr>
          <w:lang w:val="ru-RU"/>
        </w:rPr>
        <w:t xml:space="preserve"> </w:t>
      </w:r>
      <w:r>
        <w:rPr>
          <w:lang w:val="en-US"/>
        </w:rPr>
        <w:t>APEX</w:t>
      </w:r>
      <w:r w:rsidRPr="00AE44E9">
        <w:rPr>
          <w:lang w:val="ru-RU"/>
        </w:rPr>
        <w:t>:</w:t>
      </w:r>
    </w:p>
    <w:p w14:paraId="4C1C1B2D" w14:textId="77777777" w:rsidR="00C9445E" w:rsidRPr="00493CB9" w:rsidRDefault="00C9445E" w:rsidP="00C9445E">
      <w:pPr>
        <w:pStyle w:val="ListParagraph"/>
        <w:rPr>
          <w:color w:val="000000"/>
          <w:lang w:val="en-US"/>
        </w:rPr>
      </w:pPr>
      <w:r w:rsidRPr="00493CB9">
        <w:rPr>
          <w:color w:val="000000"/>
          <w:lang w:val="en-US"/>
        </w:rPr>
        <w:t>- WPTS</w:t>
      </w:r>
    </w:p>
    <w:p w14:paraId="6D4B6A2E" w14:textId="77777777" w:rsidR="00C9445E" w:rsidRDefault="00C9445E" w:rsidP="00C9445E">
      <w:pPr>
        <w:pStyle w:val="ListParagraph"/>
        <w:rPr>
          <w:color w:val="000000"/>
          <w:lang w:val="en-US"/>
        </w:rPr>
      </w:pPr>
      <w:r w:rsidRPr="00493CB9">
        <w:rPr>
          <w:color w:val="000000"/>
          <w:lang w:val="en-US"/>
        </w:rPr>
        <w:t>- System for planning of trainings</w:t>
      </w:r>
    </w:p>
    <w:p w14:paraId="79078D56" w14:textId="77777777" w:rsidR="00C9445E" w:rsidRPr="00AE44E9" w:rsidRDefault="00C9445E" w:rsidP="00C9445E">
      <w:pPr>
        <w:pStyle w:val="ListParagraph"/>
        <w:rPr>
          <w:color w:val="000000"/>
          <w:lang w:val="ru-RU"/>
        </w:rPr>
      </w:pPr>
      <w:r w:rsidRPr="00AE44E9">
        <w:rPr>
          <w:color w:val="000000"/>
          <w:lang w:val="ru-RU"/>
        </w:rPr>
        <w:t xml:space="preserve">- </w:t>
      </w:r>
      <w:r w:rsidRPr="00920AE9">
        <w:rPr>
          <w:color w:val="000000"/>
          <w:lang w:val="en-US"/>
        </w:rPr>
        <w:t>HLDNA</w:t>
      </w:r>
      <w:bookmarkStart w:id="0" w:name="_GoBack"/>
      <w:bookmarkEnd w:id="0"/>
    </w:p>
    <w:p w14:paraId="151662F8" w14:textId="28F63C16" w:rsidR="00C9445E" w:rsidRPr="00AE44E9" w:rsidRDefault="00C9445E" w:rsidP="00780260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both"/>
        <w:rPr>
          <w:lang w:val="ru-RU"/>
        </w:rPr>
      </w:pPr>
      <w:r>
        <w:rPr>
          <w:lang w:val="ru-RU"/>
        </w:rPr>
        <w:t>Системы расположены на внутренних серверах ООО «</w:t>
      </w:r>
      <w:r w:rsidR="00780260">
        <w:rPr>
          <w:lang w:val="ru-RU"/>
        </w:rPr>
        <w:t>АГР</w:t>
      </w:r>
      <w:r>
        <w:rPr>
          <w:lang w:val="ru-RU"/>
        </w:rPr>
        <w:t>»</w:t>
      </w:r>
    </w:p>
    <w:p w14:paraId="5B4E0CEF" w14:textId="77777777" w:rsidR="003C3859" w:rsidRPr="003C3859" w:rsidRDefault="003C3859" w:rsidP="003C3859">
      <w:pPr>
        <w:spacing w:line="276" w:lineRule="auto"/>
        <w:rPr>
          <w:rFonts w:cs="Arial"/>
          <w:lang w:val="ru-RU"/>
        </w:rPr>
      </w:pPr>
    </w:p>
    <w:p w14:paraId="5C532515" w14:textId="77777777" w:rsidR="003C3859" w:rsidRPr="003C3859" w:rsidRDefault="003C3859" w:rsidP="003C3859">
      <w:pPr>
        <w:spacing w:line="276" w:lineRule="auto"/>
        <w:rPr>
          <w:rFonts w:cs="Arial"/>
          <w:b/>
          <w:lang w:val="ru-RU"/>
        </w:rPr>
      </w:pPr>
      <w:r w:rsidRPr="003C3859">
        <w:rPr>
          <w:rFonts w:cs="Arial"/>
          <w:b/>
          <w:lang w:val="ru-RU"/>
        </w:rPr>
        <w:t xml:space="preserve">Регламент оказания услуг по технической поддержке </w:t>
      </w:r>
    </w:p>
    <w:p w14:paraId="7CC284EC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4D7239F6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Услуги технической поддержки подразделяются на следующие категории услуг, направленных на различные аспекты функционирования предмета технической поддержки:</w:t>
      </w:r>
    </w:p>
    <w:p w14:paraId="32265F5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Обеспечивающая техническая поддержка. Осуществляется на регулярной основе как непрерывный процесс, направленный на поддержание доступности сервисов, предоставляемых предметом технической поддержки для пользователей.</w:t>
      </w:r>
    </w:p>
    <w:p w14:paraId="0523952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Профилактическая техническая поддержка. Осуществляется на регулярной основе как непрерывный процесс, направленный на профилактику возможных проблем в будущем.</w:t>
      </w:r>
    </w:p>
    <w:p w14:paraId="411E7E4B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Консультационная техническая поддержка. Осуществляется по запросам Заказчика и направлена на удовлетворение информационных потребностей пользователей информационных систем по вопросам взаимодействия с этими системами.</w:t>
      </w:r>
    </w:p>
    <w:p w14:paraId="49DFDDC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Корректирующая техническая поддержка. Осуществляется при возникновении потребностей в устранении каких-либо проблем в функционировании предмета технической поддержки.</w:t>
      </w:r>
    </w:p>
    <w:p w14:paraId="2C4B4580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Адаптивная техническая поддержка. Осуществляется при необходимости изменения (развития, модернизации) предмета технической поддержки при возникновении внешних причин.</w:t>
      </w:r>
    </w:p>
    <w:p w14:paraId="5EB61A29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1" w:name="_Toc385171722"/>
      <w:r w:rsidRPr="003C3859">
        <w:rPr>
          <w:sz w:val="22"/>
          <w:szCs w:val="22"/>
          <w:lang w:val="ru-RU"/>
        </w:rPr>
        <w:lastRenderedPageBreak/>
        <w:t>Обеспечивающая техническая поддержка</w:t>
      </w:r>
      <w:bookmarkEnd w:id="1"/>
    </w:p>
    <w:p w14:paraId="0B168EDC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Обеспечивающая техническая поддержка направлена на поддержание текущего режима функционирования предмета технической поддержки и включает следующие услуги:</w:t>
      </w:r>
    </w:p>
    <w:p w14:paraId="7B7339FA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Настройка экземпляров СУБД, регулярная проверка оптимальности настроек, внесение корректировок;</w:t>
      </w:r>
    </w:p>
    <w:p w14:paraId="0E842488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Настройка параметров хранения файлов данных, регулярную проверку оптимальности настроек, внесение корректировок;</w:t>
      </w:r>
    </w:p>
    <w:p w14:paraId="7E7A40DB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Настройку программ резервного копирования и регулярную проверку корректности настроек;</w:t>
      </w:r>
    </w:p>
    <w:p w14:paraId="33170E64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Настройку параметров информационной безопасности, включая создание системных пользователей и ведение их учетных записей;</w:t>
      </w:r>
    </w:p>
    <w:p w14:paraId="168FDD7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Мониторинг доступности и состояния основных сервисов предмета технической поддержки.</w:t>
      </w:r>
    </w:p>
    <w:p w14:paraId="283098A5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2" w:name="_Toc385171723"/>
      <w:r w:rsidRPr="003C3859">
        <w:rPr>
          <w:sz w:val="22"/>
          <w:szCs w:val="22"/>
          <w:lang w:val="ru-RU"/>
        </w:rPr>
        <w:t>Профилактическая техническая поддержка</w:t>
      </w:r>
      <w:bookmarkEnd w:id="2"/>
    </w:p>
    <w:p w14:paraId="6B5CA710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Профилактическая техническая поддержка направлена на снижение рисков возникновения инцидентов, на предотвращение возможности снижения доступности или полного прекращения функционирования сервисов, предоставляемых предметом технической поддержки, и включает следующие услуги: </w:t>
      </w:r>
    </w:p>
    <w:p w14:paraId="5C8208B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Конфигурирование встроенных в прикладное и системное программное обеспечение средств мониторинга функционирования компонентов предмета технической поддержки;</w:t>
      </w:r>
    </w:p>
    <w:p w14:paraId="0394867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Проведение оперативного мониторинга, анализ электронных журналов функционирования компонентов предмета технической поддержки;</w:t>
      </w:r>
    </w:p>
    <w:p w14:paraId="73F7F326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Ведение актуального перечня возможных типов инцидентов и их причин, включая описание мер, предпринимаемых для снижения рисков возникновения этих инцидентов;</w:t>
      </w:r>
    </w:p>
    <w:p w14:paraId="0A37EA2D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Разработка решений по предотвращению возможных инцидентов, уменьшению рисков;</w:t>
      </w:r>
    </w:p>
    <w:p w14:paraId="1E1F6D15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Планирование и выполнение мероприятий по внесению профилактических изменений в компоненты предмета технической поддержки;</w:t>
      </w:r>
    </w:p>
    <w:p w14:paraId="36A882F7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Проверка работоспособности предмета технической поддержки после внесения любых изменений.</w:t>
      </w:r>
    </w:p>
    <w:p w14:paraId="79B50A61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3" w:name="_Toc385171724"/>
      <w:r w:rsidRPr="003C3859">
        <w:rPr>
          <w:sz w:val="22"/>
          <w:szCs w:val="22"/>
          <w:lang w:val="ru-RU"/>
        </w:rPr>
        <w:lastRenderedPageBreak/>
        <w:t>Консультационная техническая поддержка</w:t>
      </w:r>
      <w:bookmarkEnd w:id="3"/>
    </w:p>
    <w:p w14:paraId="315C2479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Консультационная техническая поддержка направлена на оказание пользователям информационных систем помощи по их использованию с целью максимально исключить непроизводительные затраты времени пользователей и обеспечить быстрое разрешение всех затруднительных ситуаций.</w:t>
      </w:r>
    </w:p>
    <w:p w14:paraId="36F00BE7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Консультационная техническая поддержка включает следующие услуги:</w:t>
      </w:r>
    </w:p>
    <w:p w14:paraId="32055D8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Подсказки и советы по работе с информационной системой, по использованию элементов пользовательского интерфейса, по работе с данными;</w:t>
      </w:r>
    </w:p>
    <w:p w14:paraId="12E10DB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Разъяснение автоматизированного регламента, бизнес-логики и алгоритмов, реализованных в информационной системе;</w:t>
      </w:r>
    </w:p>
    <w:p w14:paraId="5ED8A00A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Разбор и анализ сложных ситуаций, возникающих в работе пользователя с системой. </w:t>
      </w:r>
    </w:p>
    <w:p w14:paraId="3780890F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4" w:name="_Toc385171725"/>
      <w:r w:rsidRPr="003C3859">
        <w:rPr>
          <w:sz w:val="22"/>
          <w:szCs w:val="22"/>
          <w:lang w:val="ru-RU"/>
        </w:rPr>
        <w:t>Корректирующая техническая поддержка</w:t>
      </w:r>
      <w:bookmarkEnd w:id="4"/>
    </w:p>
    <w:p w14:paraId="5916CDBA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Корректирующая техническая поддержка направлена на устранение инцидентов и их причин и включает следующие услуги:</w:t>
      </w:r>
    </w:p>
    <w:p w14:paraId="5ADF4B2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Анализ сообщений об инцидентах, поступающих от Заказчика;</w:t>
      </w:r>
    </w:p>
    <w:p w14:paraId="43524D24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Принятие мер по устранению инцидентов (в соответствии с уровнем его критичности);</w:t>
      </w:r>
    </w:p>
    <w:p w14:paraId="4766263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Восстановление работоспособности предмета технической поддержки и базы данных в случае аварийных остановов и/или возможной потери данных;</w:t>
      </w:r>
    </w:p>
    <w:p w14:paraId="34D5A291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Анализ инцидентов, уточнение симптомов, влияния, определение и локализация причин, приведших к возникновению инцидента; </w:t>
      </w:r>
    </w:p>
    <w:p w14:paraId="02CA5531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Выработка способов устранения причины инцидента (известной ошибки) и недопущения их повторения, либо выработка временных обходных решений, либо постоянной альтернативы;</w:t>
      </w:r>
    </w:p>
    <w:p w14:paraId="2732FB57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Ведение актуального перечня известных ошибок, включая описание обходного решения или постоянной альтернативы для каждой известной ошибки.</w:t>
      </w:r>
    </w:p>
    <w:p w14:paraId="69E0F778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Устранение известных ошибок, если эти причины связаны с предметом технической поддержки;</w:t>
      </w:r>
    </w:p>
    <w:p w14:paraId="7682B6A5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Уведомление Заказчика об известной ошибке (или о проблеме, если причина не выявлена) в случае, если она связана со средой функционирования;</w:t>
      </w:r>
    </w:p>
    <w:p w14:paraId="0FA5C20B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lastRenderedPageBreak/>
        <w:t>Согласование с Заказчиком необходимых модификаций (доработок) предмета технической поддержки, если устранение известной ошибки повлечет необходимость изменения среды функционирования или изменит работу сервисов, предоставляемых предметом технической поддержки.</w:t>
      </w:r>
    </w:p>
    <w:p w14:paraId="6511DB43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5" w:name="_Toc385171726"/>
      <w:r w:rsidRPr="003C3859">
        <w:rPr>
          <w:sz w:val="22"/>
          <w:szCs w:val="22"/>
          <w:lang w:val="ru-RU"/>
        </w:rPr>
        <w:t>Адаптивная техническая поддержка</w:t>
      </w:r>
      <w:bookmarkEnd w:id="5"/>
    </w:p>
    <w:p w14:paraId="79158D2D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Адаптивная техническая поддержка направлена на изменение предмета технической поддержки в следующих случаях:</w:t>
      </w:r>
    </w:p>
    <w:p w14:paraId="4AD5F08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При изменении среды функционирования предмета технической поддержки;</w:t>
      </w:r>
    </w:p>
    <w:p w14:paraId="0C787A21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При изменении требований Заказчика к сервисам, предоставляемым предметом технической поддержки.</w:t>
      </w:r>
    </w:p>
    <w:p w14:paraId="04F201BC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Адаптивная техническая поддержка включает следующие услуги:</w:t>
      </w:r>
    </w:p>
    <w:p w14:paraId="5339302F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Анализ запланированных Заказчиком изменений среды функционирования объекта технической поддержки и их влияния на него;</w:t>
      </w:r>
    </w:p>
    <w:p w14:paraId="53FA5F54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Выявление рисков изменения среды функционирования объекта технической поддержки и согласование с Заказчиком подходов к реализации изменений;</w:t>
      </w:r>
    </w:p>
    <w:p w14:paraId="4727F4B4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Планирование адаптации предмета технической поддержки к изменяющейся среде его функционирования;</w:t>
      </w:r>
    </w:p>
    <w:p w14:paraId="62E37967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Реализация модификаций (доработок) предмета технической поддержки, вызванных изменениями среды его функционирования;</w:t>
      </w:r>
    </w:p>
    <w:p w14:paraId="4BB5405B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Прием предложений по модификации (доработке) предмета технической поддержки, поступающих от Заказчика;</w:t>
      </w:r>
    </w:p>
    <w:p w14:paraId="0372B808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Анализ и уточнение требований к модификации (доработке), разработка технического задания на доработку и согласование его с Заказчиком;</w:t>
      </w:r>
    </w:p>
    <w:p w14:paraId="630ABDA2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Реализация согласованных с Заказчиком модификаций (доработок) предмета технической поддержки.</w:t>
      </w:r>
    </w:p>
    <w:p w14:paraId="2E19C891" w14:textId="77777777" w:rsidR="003C3859" w:rsidRPr="006076DE" w:rsidRDefault="003C3859" w:rsidP="003C3859">
      <w:pPr>
        <w:pStyle w:val="Heading2"/>
        <w:numPr>
          <w:ilvl w:val="1"/>
          <w:numId w:val="0"/>
        </w:numPr>
        <w:tabs>
          <w:tab w:val="num" w:pos="360"/>
          <w:tab w:val="num" w:pos="1080"/>
          <w:tab w:val="num" w:pos="1458"/>
        </w:tabs>
        <w:spacing w:after="240" w:line="276" w:lineRule="auto"/>
        <w:ind w:left="788" w:hanging="431"/>
        <w:rPr>
          <w:i/>
          <w:lang w:eastAsia="ru-RU"/>
        </w:rPr>
      </w:pPr>
      <w:bookmarkStart w:id="6" w:name="_Toc385171727"/>
      <w:r w:rsidRPr="006076DE">
        <w:rPr>
          <w:lang w:eastAsia="ru-RU"/>
        </w:rPr>
        <w:t>Регламент оказания услуг Технической поддержки</w:t>
      </w:r>
      <w:bookmarkEnd w:id="6"/>
    </w:p>
    <w:p w14:paraId="2E303EEA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7" w:name="_Toc385171728"/>
      <w:r w:rsidRPr="003C3859">
        <w:rPr>
          <w:sz w:val="22"/>
          <w:szCs w:val="22"/>
          <w:lang w:val="ru-RU"/>
        </w:rPr>
        <w:t>Оказание регулярных услуг Технической поддержки</w:t>
      </w:r>
      <w:bookmarkEnd w:id="7"/>
    </w:p>
    <w:p w14:paraId="0BEA617D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К регулярным услугам относятся услуги обеспечивающей и профилактической технической поддержки. Они выполняются Исполнителем по собственной инициативе, без предварительного получения Запросов на обслуживание от Заказчика. </w:t>
      </w:r>
    </w:p>
    <w:p w14:paraId="39AAC104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Регулярные услуги Технической поддержки оказываются Исполнителем посредством удаленного доступа к предмету Технической поддержки без выезда на площадку Заказчика.</w:t>
      </w:r>
    </w:p>
    <w:p w14:paraId="66BB90AA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8" w:name="_Toc385171729"/>
      <w:r w:rsidRPr="003C3859">
        <w:rPr>
          <w:sz w:val="22"/>
          <w:szCs w:val="22"/>
          <w:lang w:val="ru-RU"/>
        </w:rPr>
        <w:lastRenderedPageBreak/>
        <w:t>Оказание услуг Технической поддержки по Запросам Заказчика</w:t>
      </w:r>
      <w:bookmarkEnd w:id="8"/>
    </w:p>
    <w:p w14:paraId="44A9BE45" w14:textId="6ADE4563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К услугам технической поддержки, оказываемым по требованию, относятся услуги </w:t>
      </w:r>
      <w:r w:rsidR="00E70C33">
        <w:rPr>
          <w:rFonts w:cs="Arial"/>
          <w:sz w:val="22"/>
          <w:szCs w:val="22"/>
        </w:rPr>
        <w:t xml:space="preserve">консультационной, </w:t>
      </w:r>
      <w:r w:rsidRPr="006076DE">
        <w:rPr>
          <w:rFonts w:cs="Arial"/>
          <w:sz w:val="22"/>
          <w:szCs w:val="22"/>
        </w:rPr>
        <w:t>корректирующей и адаптивной технической поддержки.</w:t>
      </w:r>
    </w:p>
    <w:p w14:paraId="3EF54837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Событием, инициирующим оказание таких услуг, является Запрос на обслуживание, поступивший от Заказчика.</w:t>
      </w:r>
    </w:p>
    <w:p w14:paraId="62E03614" w14:textId="5EC59964" w:rsidR="003C3859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Запросы на обслуживание могут направляться Заказчиком по следующим каналам взаимодействия:</w:t>
      </w:r>
    </w:p>
    <w:p w14:paraId="5D9A6E76" w14:textId="5EBD97D4" w:rsidR="00E70C33" w:rsidRPr="00E70C33" w:rsidRDefault="00E70C33" w:rsidP="00E70C33">
      <w:pPr>
        <w:pStyle w:val="BodyTextIndent"/>
        <w:numPr>
          <w:ilvl w:val="0"/>
          <w:numId w:val="41"/>
        </w:numPr>
        <w:spacing w:line="276" w:lineRule="auto"/>
        <w:rPr>
          <w:rFonts w:cs="Arial"/>
          <w:bCs/>
          <w:sz w:val="22"/>
          <w:szCs w:val="22"/>
        </w:rPr>
      </w:pPr>
      <w:r w:rsidRPr="00E70C33">
        <w:rPr>
          <w:rFonts w:cs="Arial"/>
          <w:b/>
          <w:sz w:val="22"/>
          <w:szCs w:val="22"/>
        </w:rPr>
        <w:t xml:space="preserve">Система обработки запросов Заказчика. </w:t>
      </w:r>
      <w:r w:rsidRPr="00E70C33">
        <w:rPr>
          <w:rFonts w:cs="Arial"/>
          <w:bCs/>
          <w:sz w:val="22"/>
          <w:szCs w:val="22"/>
        </w:rPr>
        <w:t>Базовый, предпочтительный вариант. Запросы могут поступать в любое время, но их обработка Исполнителем начнется, в соответствии с установленным порядком для данного типа Запроса на обслуживание.</w:t>
      </w:r>
    </w:p>
    <w:p w14:paraId="4E877DC6" w14:textId="77777777" w:rsidR="003C3859" w:rsidRPr="006076DE" w:rsidRDefault="003C3859" w:rsidP="003C3859">
      <w:pPr>
        <w:pStyle w:val="BodyTextIndent"/>
        <w:numPr>
          <w:ilvl w:val="0"/>
          <w:numId w:val="41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b/>
          <w:sz w:val="22"/>
          <w:szCs w:val="22"/>
        </w:rPr>
        <w:t>Телефон.</w:t>
      </w:r>
      <w:r w:rsidRPr="006076DE">
        <w:rPr>
          <w:rFonts w:cs="Arial"/>
          <w:sz w:val="22"/>
          <w:szCs w:val="22"/>
        </w:rPr>
        <w:t xml:space="preserve"> Запросы по телефону принимаются Исполнителем только в рабочее время.</w:t>
      </w:r>
    </w:p>
    <w:p w14:paraId="3EF0ECF9" w14:textId="77777777" w:rsidR="003C3859" w:rsidRPr="006076DE" w:rsidRDefault="003C3859" w:rsidP="003C3859">
      <w:pPr>
        <w:pStyle w:val="BodyTextIndent"/>
        <w:numPr>
          <w:ilvl w:val="0"/>
          <w:numId w:val="41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b/>
          <w:sz w:val="22"/>
          <w:szCs w:val="22"/>
        </w:rPr>
        <w:t>Электронная почта</w:t>
      </w:r>
      <w:r w:rsidRPr="006076DE">
        <w:rPr>
          <w:rFonts w:cs="Arial"/>
          <w:sz w:val="22"/>
          <w:szCs w:val="22"/>
        </w:rPr>
        <w:t>. Запросы по электронной почте могут направляться Заказчиком в любое время, но их обработка Исполнителем начнется, в соответствии с установленным порядком для данного типа Запроса на обслуживание.</w:t>
      </w:r>
    </w:p>
    <w:p w14:paraId="3BBFD058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Каждый поступающий Запрос на обслуживание должен быть классифицирован по следующим типам, влияющим на порядок обработки Запроса:</w:t>
      </w:r>
    </w:p>
    <w:p w14:paraId="48A8892C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Сообщение об инциденте.</w:t>
      </w:r>
    </w:p>
    <w:p w14:paraId="04A34896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Запрос на консультацию пользователей.</w:t>
      </w:r>
    </w:p>
    <w:p w14:paraId="07244FAE" w14:textId="77777777" w:rsidR="003C3859" w:rsidRPr="006076DE" w:rsidRDefault="003C3859" w:rsidP="003C3859">
      <w:pPr>
        <w:pStyle w:val="BodyTextIndent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Предложение по модификации предмета технической поддержки.</w:t>
      </w:r>
    </w:p>
    <w:p w14:paraId="171167A2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Первичная классификация Запроса на обслуживание может быть указана Заказчиком при обращении. Если у Заказчика недостаточно информации для классификации запроса, то классификация будет проведена Исполнителем в процессе обработки запроса, и отражена в отчетах по технической поддержке.</w:t>
      </w:r>
    </w:p>
    <w:p w14:paraId="11C165C8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Услуги Технической поддержки по Запросам от Заказчика оказываются Исполнителем посредством удаленного доступа к предмету Технической поддержки без выезда на площадку Заказчика.</w:t>
      </w:r>
    </w:p>
    <w:p w14:paraId="436A5869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 следующих разделах описан подробный регламент обработки каждого типа Запроса на обслуживание.</w:t>
      </w:r>
    </w:p>
    <w:p w14:paraId="61CE9B2B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bookmarkStart w:id="9" w:name="_Toc385171730"/>
      <w:r w:rsidRPr="003C3859">
        <w:rPr>
          <w:sz w:val="22"/>
          <w:szCs w:val="22"/>
          <w:lang w:val="ru-RU"/>
        </w:rPr>
        <w:t>Обработка сообщений об Инцидентах</w:t>
      </w:r>
      <w:bookmarkEnd w:id="9"/>
    </w:p>
    <w:p w14:paraId="4E23B775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Сообщения об Инцидентах могут направляться Исполнителю любым пользователем информационной системы.</w:t>
      </w:r>
    </w:p>
    <w:p w14:paraId="4B41E07D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394E0536" w14:textId="491361AE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lastRenderedPageBreak/>
        <w:t xml:space="preserve">Временной регламент обработки Инцидентов определяется серьезностью Инцидента. Первоначальный уровень серьезности Инцидента Заказчик должен определить самостоятельно, </w:t>
      </w:r>
      <w:r w:rsidR="00E70C33">
        <w:rPr>
          <w:rFonts w:cs="Arial"/>
          <w:sz w:val="22"/>
          <w:szCs w:val="22"/>
        </w:rPr>
        <w:t xml:space="preserve">или </w:t>
      </w:r>
      <w:r w:rsidRPr="006076DE">
        <w:rPr>
          <w:rFonts w:cs="Arial"/>
          <w:sz w:val="22"/>
          <w:szCs w:val="22"/>
        </w:rPr>
        <w:t>проконсультировавшись с Исполнителем. На л</w:t>
      </w:r>
      <w:r w:rsidR="00E70C33">
        <w:rPr>
          <w:rFonts w:cs="Arial"/>
          <w:sz w:val="22"/>
          <w:szCs w:val="22"/>
        </w:rPr>
        <w:t>юбом этапе работы с Инцидентом А</w:t>
      </w:r>
      <w:r w:rsidRPr="006076DE">
        <w:rPr>
          <w:rFonts w:cs="Arial"/>
          <w:sz w:val="22"/>
          <w:szCs w:val="22"/>
        </w:rPr>
        <w:t>ГР вправе попросить Исполнителя внести изменения в определение серьезности Инцидента.</w:t>
      </w:r>
    </w:p>
    <w:p w14:paraId="012AAE61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Правила классификация серьезности Инцидентов по различным уровням приведена в 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8"/>
        <w:gridCol w:w="3323"/>
        <w:gridCol w:w="3495"/>
      </w:tblGrid>
      <w:tr w:rsidR="003C3859" w:rsidRPr="00780260" w14:paraId="5AF0788A" w14:textId="77777777" w:rsidTr="007C12E7">
        <w:trPr>
          <w:tblHeader/>
        </w:trPr>
        <w:tc>
          <w:tcPr>
            <w:tcW w:w="1635" w:type="dxa"/>
            <w:shd w:val="clear" w:color="auto" w:fill="auto"/>
            <w:vAlign w:val="center"/>
          </w:tcPr>
          <w:p w14:paraId="5D7076D5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Уровень серьезности Инцидента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3E8BC10A" w14:textId="23874089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Пр</w:t>
            </w:r>
            <w:r w:rsidR="00E70C33">
              <w:rPr>
                <w:rFonts w:cs="Arial"/>
                <w:b/>
                <w:sz w:val="22"/>
                <w:szCs w:val="22"/>
              </w:rPr>
              <w:t>оявления Инцидента для бизнеса А</w:t>
            </w:r>
            <w:r w:rsidRPr="006076DE">
              <w:rPr>
                <w:rFonts w:cs="Arial"/>
                <w:b/>
                <w:sz w:val="22"/>
                <w:szCs w:val="22"/>
              </w:rPr>
              <w:t>ГР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798503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Типовые признаки Инцидента с данным уровнем серьезности</w:t>
            </w:r>
          </w:p>
        </w:tc>
      </w:tr>
      <w:tr w:rsidR="003C3859" w:rsidRPr="00780260" w14:paraId="0D767D64" w14:textId="77777777" w:rsidTr="007C12E7">
        <w:tc>
          <w:tcPr>
            <w:tcW w:w="1635" w:type="dxa"/>
            <w:shd w:val="clear" w:color="auto" w:fill="auto"/>
            <w:vAlign w:val="center"/>
          </w:tcPr>
          <w:p w14:paraId="564D25AA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Наивысший</w:t>
            </w:r>
          </w:p>
        </w:tc>
        <w:tc>
          <w:tcPr>
            <w:tcW w:w="3752" w:type="dxa"/>
            <w:shd w:val="clear" w:color="auto" w:fill="auto"/>
          </w:tcPr>
          <w:p w14:paraId="68AADB4C" w14:textId="77777777" w:rsidR="003C3859" w:rsidRPr="006076DE" w:rsidRDefault="003C3859" w:rsidP="003C3859">
            <w:pPr>
              <w:pStyle w:val="BodyTextIndent"/>
              <w:numPr>
                <w:ilvl w:val="0"/>
                <w:numId w:val="45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Полная невозможность выполнения бизнес-процессов, автоматизируемых соответствующей информационной системой</w:t>
            </w:r>
          </w:p>
          <w:p w14:paraId="7DABEC11" w14:textId="77777777" w:rsidR="003C3859" w:rsidRPr="006076DE" w:rsidRDefault="003C3859" w:rsidP="003C3859">
            <w:pPr>
              <w:pStyle w:val="BodyTextIndent"/>
              <w:numPr>
                <w:ilvl w:val="0"/>
                <w:numId w:val="45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Критичный сбой регламента выполнения бизнес-процесса, приводящий к срыву сроков.</w:t>
            </w:r>
          </w:p>
          <w:p w14:paraId="478C32E0" w14:textId="77777777" w:rsidR="003C3859" w:rsidRPr="006076DE" w:rsidRDefault="003C3859" w:rsidP="003C3859">
            <w:pPr>
              <w:pStyle w:val="BodyTextIndent"/>
              <w:numPr>
                <w:ilvl w:val="0"/>
                <w:numId w:val="45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Полное отсутствие доступа к каким-либо бизнес-данным, находящимся в базе данных системы;</w:t>
            </w:r>
          </w:p>
          <w:p w14:paraId="68888806" w14:textId="77777777" w:rsidR="003C3859" w:rsidRPr="006076DE" w:rsidRDefault="003C3859" w:rsidP="003C3859">
            <w:pPr>
              <w:pStyle w:val="BodyTextIndent"/>
              <w:numPr>
                <w:ilvl w:val="0"/>
                <w:numId w:val="45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Частичная или полная потеря критичных бизнес- данных в базе данных системы.</w:t>
            </w:r>
          </w:p>
        </w:tc>
        <w:tc>
          <w:tcPr>
            <w:tcW w:w="4394" w:type="dxa"/>
            <w:shd w:val="clear" w:color="auto" w:fill="auto"/>
          </w:tcPr>
          <w:p w14:paraId="58D7476A" w14:textId="77777777" w:rsidR="003C3859" w:rsidRPr="006076DE" w:rsidRDefault="003C3859" w:rsidP="003C3859">
            <w:pPr>
              <w:pStyle w:val="BodyTextIndent"/>
              <w:numPr>
                <w:ilvl w:val="0"/>
                <w:numId w:val="4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Полная остановка информационной системы (остановка процессов системы на серверах);</w:t>
            </w:r>
          </w:p>
          <w:p w14:paraId="55DB834D" w14:textId="77777777" w:rsidR="003C3859" w:rsidRPr="006076DE" w:rsidRDefault="003C3859" w:rsidP="003C3859">
            <w:pPr>
              <w:pStyle w:val="BodyTextIndent"/>
              <w:numPr>
                <w:ilvl w:val="0"/>
                <w:numId w:val="4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Невозможность для пользователей войти в систему стандартными средствами, носящая массовый характер (т.е. невозможность входа в Систему с различных рабочих мест многих пользователей);</w:t>
            </w:r>
          </w:p>
          <w:p w14:paraId="6148F9FC" w14:textId="77777777" w:rsidR="003C3859" w:rsidRPr="006076DE" w:rsidRDefault="003C3859" w:rsidP="003C3859">
            <w:pPr>
              <w:pStyle w:val="BodyTextIndent"/>
              <w:numPr>
                <w:ilvl w:val="0"/>
                <w:numId w:val="4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Массовая (для многих пользователей) невозможность выполнения запросов к данным (критические ошибки или бесконечное ожидание результатов запросов), при том что интерфейс системы запускается;</w:t>
            </w:r>
          </w:p>
          <w:p w14:paraId="47AB30A8" w14:textId="77777777" w:rsidR="003C3859" w:rsidRPr="006076DE" w:rsidRDefault="003C3859" w:rsidP="003C3859">
            <w:pPr>
              <w:pStyle w:val="BodyTextIndent"/>
              <w:numPr>
                <w:ilvl w:val="0"/>
                <w:numId w:val="4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lastRenderedPageBreak/>
              <w:t>Пользователи, затронутые Инцидентом, могут отложить выполнение своих задач в Системе на срок не более 4-х рабочих часов до устранения Инцидента без существенного ущерба для автоматизируемого бизнес-процесса.</w:t>
            </w:r>
          </w:p>
        </w:tc>
      </w:tr>
      <w:tr w:rsidR="003C3859" w:rsidRPr="00780260" w14:paraId="75F0C714" w14:textId="77777777" w:rsidTr="007C12E7">
        <w:tc>
          <w:tcPr>
            <w:tcW w:w="1635" w:type="dxa"/>
            <w:shd w:val="clear" w:color="auto" w:fill="auto"/>
            <w:vAlign w:val="center"/>
          </w:tcPr>
          <w:p w14:paraId="15B52F6F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3752" w:type="dxa"/>
            <w:shd w:val="clear" w:color="auto" w:fill="auto"/>
          </w:tcPr>
          <w:p w14:paraId="62E98173" w14:textId="77777777" w:rsidR="003C3859" w:rsidRPr="006076DE" w:rsidRDefault="003C3859" w:rsidP="003C3859">
            <w:pPr>
              <w:pStyle w:val="BodyTextIndent"/>
              <w:numPr>
                <w:ilvl w:val="0"/>
                <w:numId w:val="46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Частичная невозможность выполнения автоматизированных бизнес-процессов, затрагивающая некоторые (не все) функции бизнес-процесса или некоторые функциональные роли, при том, что другие функции и роли работают в обычном режиме.</w:t>
            </w:r>
          </w:p>
          <w:p w14:paraId="33180799" w14:textId="77777777" w:rsidR="003C3859" w:rsidRPr="006076DE" w:rsidRDefault="003C3859" w:rsidP="003C3859">
            <w:pPr>
              <w:pStyle w:val="BodyTextIndent"/>
              <w:numPr>
                <w:ilvl w:val="0"/>
                <w:numId w:val="46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Частичная недоступность бизнес-данных, хранящихся в системе.</w:t>
            </w:r>
          </w:p>
        </w:tc>
        <w:tc>
          <w:tcPr>
            <w:tcW w:w="4394" w:type="dxa"/>
            <w:shd w:val="clear" w:color="auto" w:fill="auto"/>
          </w:tcPr>
          <w:p w14:paraId="3BE844DC" w14:textId="77777777" w:rsidR="003C3859" w:rsidRPr="006076DE" w:rsidRDefault="003C3859" w:rsidP="003C3859">
            <w:pPr>
              <w:pStyle w:val="BodyTextIndent"/>
              <w:numPr>
                <w:ilvl w:val="0"/>
                <w:numId w:val="4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sz w:val="22"/>
                <w:szCs w:val="22"/>
              </w:rPr>
              <w:t>Заметное падение производительности работы системы, носящее массовый характер;</w:t>
            </w:r>
          </w:p>
          <w:p w14:paraId="58A68250" w14:textId="77777777" w:rsidR="003C3859" w:rsidRPr="006076DE" w:rsidRDefault="003C3859" w:rsidP="003C3859">
            <w:pPr>
              <w:pStyle w:val="BodyTextIndent"/>
              <w:numPr>
                <w:ilvl w:val="0"/>
                <w:numId w:val="4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sz w:val="22"/>
                <w:szCs w:val="22"/>
              </w:rPr>
              <w:t xml:space="preserve">Недоступность некоторых (не всех) функций системы для значительного количества (но не всех) пользователей; </w:t>
            </w:r>
          </w:p>
          <w:p w14:paraId="06E22177" w14:textId="77777777" w:rsidR="003C3859" w:rsidRPr="006076DE" w:rsidRDefault="003C3859" w:rsidP="003C3859">
            <w:pPr>
              <w:pStyle w:val="BodyTextIndent"/>
              <w:numPr>
                <w:ilvl w:val="0"/>
                <w:numId w:val="4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sz w:val="22"/>
                <w:szCs w:val="22"/>
              </w:rPr>
              <w:t>Потеря доступа или к некоторым данным, проявляющаяся в отдельных экранных формах или отчетах;</w:t>
            </w:r>
          </w:p>
          <w:p w14:paraId="2C2A8303" w14:textId="77777777" w:rsidR="003C3859" w:rsidRPr="006076DE" w:rsidRDefault="003C3859" w:rsidP="003C3859">
            <w:pPr>
              <w:pStyle w:val="BodyTextIndent"/>
              <w:numPr>
                <w:ilvl w:val="0"/>
                <w:numId w:val="4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sz w:val="22"/>
                <w:szCs w:val="22"/>
              </w:rPr>
              <w:lastRenderedPageBreak/>
              <w:t>Пользователи могут отложить выполнение своих задач в системе на срок не более одного рабочего дня до устранения Инцидента без существенного ущерба для автоматизируемого бизнес-процесса</w:t>
            </w:r>
          </w:p>
        </w:tc>
      </w:tr>
      <w:tr w:rsidR="003C3859" w:rsidRPr="00780260" w14:paraId="539483AB" w14:textId="77777777" w:rsidTr="007C12E7">
        <w:tc>
          <w:tcPr>
            <w:tcW w:w="1635" w:type="dxa"/>
            <w:shd w:val="clear" w:color="auto" w:fill="auto"/>
            <w:vAlign w:val="center"/>
          </w:tcPr>
          <w:p w14:paraId="311244ED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3752" w:type="dxa"/>
            <w:shd w:val="clear" w:color="auto" w:fill="auto"/>
          </w:tcPr>
          <w:p w14:paraId="24EAF8EA" w14:textId="77777777" w:rsidR="003C3859" w:rsidRPr="006076DE" w:rsidRDefault="003C3859" w:rsidP="003C3859">
            <w:pPr>
              <w:pStyle w:val="BodyTextIndent"/>
              <w:numPr>
                <w:ilvl w:val="0"/>
                <w:numId w:val="47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>Инцидент не оказывает существенного влияния на возможность выполнения автоматизированных бизнес-процессов и доступ к бизнес-данным;</w:t>
            </w:r>
          </w:p>
          <w:p w14:paraId="655BE10D" w14:textId="77777777" w:rsidR="003C3859" w:rsidRPr="006076DE" w:rsidRDefault="003C3859" w:rsidP="003C3859">
            <w:pPr>
              <w:pStyle w:val="BodyTextIndent"/>
              <w:numPr>
                <w:ilvl w:val="0"/>
                <w:numId w:val="47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t xml:space="preserve">Инцидент может получить более высокий уровень серьезности, если его устранение не произойдет до того момента, когда возникнет необходимость выполнения затронутых Инцидентом функций информационной системы.  </w:t>
            </w:r>
          </w:p>
        </w:tc>
        <w:tc>
          <w:tcPr>
            <w:tcW w:w="4394" w:type="dxa"/>
            <w:shd w:val="clear" w:color="auto" w:fill="auto"/>
          </w:tcPr>
          <w:p w14:paraId="10D5AAD5" w14:textId="77777777" w:rsidR="003C3859" w:rsidRPr="006076DE" w:rsidRDefault="003C3859" w:rsidP="003C3859">
            <w:pPr>
              <w:pStyle w:val="BodyTextIndent"/>
              <w:numPr>
                <w:ilvl w:val="0"/>
                <w:numId w:val="43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iCs/>
                <w:sz w:val="22"/>
                <w:szCs w:val="22"/>
              </w:rPr>
              <w:t>Наблюдаемый Инцидент имеет локальный характер, т.е. затрагивает одного-двух пользователей, проявляется в работе небольших программных компонентов (в конкретной экранной форме, отчете, при выполнении определенной операции с данными определенного вида и т.п.);</w:t>
            </w:r>
          </w:p>
          <w:p w14:paraId="70077190" w14:textId="77777777" w:rsidR="003C3859" w:rsidRPr="006076DE" w:rsidRDefault="003C3859" w:rsidP="003C3859">
            <w:pPr>
              <w:pStyle w:val="BodyTextIndent"/>
              <w:numPr>
                <w:ilvl w:val="0"/>
                <w:numId w:val="43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iCs/>
                <w:sz w:val="22"/>
                <w:szCs w:val="22"/>
              </w:rPr>
              <w:t>Наблюдаемый Инцидент затрагивает функции информационной системы, которые не требуются пользователям в данный момент времени;</w:t>
            </w:r>
          </w:p>
          <w:p w14:paraId="689C8663" w14:textId="77777777" w:rsidR="003C3859" w:rsidRPr="006076DE" w:rsidRDefault="003C3859" w:rsidP="003C3859">
            <w:pPr>
              <w:pStyle w:val="BodyTextIndent"/>
              <w:numPr>
                <w:ilvl w:val="0"/>
                <w:numId w:val="43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cs="Arial"/>
                <w:sz w:val="22"/>
                <w:szCs w:val="22"/>
              </w:rPr>
              <w:lastRenderedPageBreak/>
              <w:t>Инцидент не приводит к остановке бизнес-процессов, т.к. п</w:t>
            </w:r>
            <w:r w:rsidRPr="006076DE">
              <w:rPr>
                <w:rFonts w:eastAsia="Calibri" w:cs="Arial"/>
                <w:iCs/>
                <w:sz w:val="22"/>
                <w:szCs w:val="22"/>
              </w:rPr>
              <w:t>ользователи знают обходной путь выполнения задачи через другие функции системы;</w:t>
            </w:r>
          </w:p>
          <w:p w14:paraId="57DC8584" w14:textId="77777777" w:rsidR="003C3859" w:rsidRPr="006076DE" w:rsidRDefault="003C3859" w:rsidP="003C3859">
            <w:pPr>
              <w:pStyle w:val="BodyTextIndent"/>
              <w:numPr>
                <w:ilvl w:val="0"/>
                <w:numId w:val="43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iCs/>
                <w:sz w:val="22"/>
                <w:szCs w:val="22"/>
              </w:rPr>
              <w:t>Наблюдается незначительное, но заметное снижение производительности работы системы;</w:t>
            </w:r>
          </w:p>
          <w:p w14:paraId="41FAF4F7" w14:textId="77777777" w:rsidR="003C3859" w:rsidRPr="006076DE" w:rsidRDefault="003C3859" w:rsidP="003C3859">
            <w:pPr>
              <w:pStyle w:val="BodyTextIndent"/>
              <w:numPr>
                <w:ilvl w:val="0"/>
                <w:numId w:val="43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076DE">
              <w:rPr>
                <w:rFonts w:eastAsia="Calibri" w:cs="Arial"/>
                <w:iCs/>
                <w:sz w:val="22"/>
                <w:szCs w:val="22"/>
              </w:rPr>
              <w:t>Пользователи могут отложить выполнение своих задач в системе на несколько дней до устранения Инцидента без существенного ущерба для автоматизируемого бизнес-процесса.</w:t>
            </w:r>
          </w:p>
        </w:tc>
      </w:tr>
    </w:tbl>
    <w:p w14:paraId="038C0C18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2EB8A772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Регламент обработки Инцидентов в зависимости от первоначального уровня серьезности, указанного Заказчиком, представлен в следующей таблице: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1736"/>
        <w:gridCol w:w="2116"/>
        <w:gridCol w:w="2052"/>
        <w:gridCol w:w="2052"/>
      </w:tblGrid>
      <w:tr w:rsidR="003C3859" w:rsidRPr="006076DE" w14:paraId="34B2B000" w14:textId="77777777" w:rsidTr="00631DAE">
        <w:trPr>
          <w:cantSplit/>
          <w:tblHeader/>
        </w:trPr>
        <w:tc>
          <w:tcPr>
            <w:tcW w:w="616" w:type="pct"/>
            <w:vAlign w:val="center"/>
          </w:tcPr>
          <w:p w14:paraId="7CFC9920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18B633B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Шаги обработки Инцидента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B6A729F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Наивысший уровень серьезности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1DBC33B4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Высокий уровень серьезности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8183B95" w14:textId="77777777" w:rsidR="003C3859" w:rsidRPr="006076DE" w:rsidRDefault="003C3859" w:rsidP="007C12E7">
            <w:pPr>
              <w:pStyle w:val="BodyTextInden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076DE">
              <w:rPr>
                <w:rFonts w:cs="Arial"/>
                <w:b/>
                <w:sz w:val="22"/>
                <w:szCs w:val="22"/>
              </w:rPr>
              <w:t>Низкий уровень серьезности</w:t>
            </w:r>
          </w:p>
        </w:tc>
      </w:tr>
      <w:tr w:rsidR="003C3859" w:rsidRPr="00780260" w14:paraId="7F33885C" w14:textId="77777777" w:rsidTr="00631DAE">
        <w:trPr>
          <w:trHeight w:val="1477"/>
        </w:trPr>
        <w:tc>
          <w:tcPr>
            <w:tcW w:w="616" w:type="pct"/>
          </w:tcPr>
          <w:p w14:paraId="4616C6EB" w14:textId="77777777" w:rsidR="003C3859" w:rsidRPr="006076DE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</w:rPr>
            </w:pPr>
          </w:p>
        </w:tc>
        <w:tc>
          <w:tcPr>
            <w:tcW w:w="957" w:type="pct"/>
            <w:shd w:val="clear" w:color="auto" w:fill="auto"/>
          </w:tcPr>
          <w:p w14:paraId="72D9F3D1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eastAsia="Calibri" w:cs="Arial"/>
              </w:rPr>
              <w:t>Уведомление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об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Инциденте</w:t>
            </w:r>
            <w:proofErr w:type="spellEnd"/>
          </w:p>
          <w:p w14:paraId="2E6B9FF3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71E3ED0A" w14:textId="12A275E8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Заказчик отправляет сообщение об Инциденте </w:t>
            </w:r>
            <w:r w:rsidR="00E70C33">
              <w:rPr>
                <w:rFonts w:eastAsia="Calibri" w:cs="Arial"/>
                <w:lang w:val="ru-RU"/>
              </w:rPr>
              <w:t xml:space="preserve">в систему обработки обращений Заказчики или </w:t>
            </w:r>
            <w:r w:rsidRPr="003C3859">
              <w:rPr>
                <w:rFonts w:eastAsia="Calibri" w:cs="Arial"/>
                <w:lang w:val="ru-RU"/>
              </w:rPr>
              <w:t xml:space="preserve">по электронной </w:t>
            </w:r>
            <w:r w:rsidRPr="003C3859">
              <w:rPr>
                <w:rFonts w:eastAsia="Calibri" w:cs="Arial"/>
                <w:lang w:val="ru-RU"/>
              </w:rPr>
              <w:lastRenderedPageBreak/>
              <w:t xml:space="preserve">почте и дублирует его по телефону. </w:t>
            </w:r>
          </w:p>
        </w:tc>
        <w:tc>
          <w:tcPr>
            <w:tcW w:w="1131" w:type="pct"/>
            <w:shd w:val="clear" w:color="auto" w:fill="auto"/>
          </w:tcPr>
          <w:p w14:paraId="50098893" w14:textId="188FDF8E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 xml:space="preserve">Заказчик отправляет сообщение об Инциденте </w:t>
            </w:r>
            <w:r w:rsidR="00E70C33">
              <w:rPr>
                <w:rFonts w:eastAsia="Calibri" w:cs="Arial"/>
                <w:lang w:val="ru-RU"/>
              </w:rPr>
              <w:t xml:space="preserve">в систему обработки обращений Заказчики или </w:t>
            </w:r>
            <w:r w:rsidRPr="003C3859">
              <w:rPr>
                <w:rFonts w:eastAsia="Calibri" w:cs="Arial"/>
                <w:lang w:val="ru-RU"/>
              </w:rPr>
              <w:t xml:space="preserve">по </w:t>
            </w:r>
            <w:r w:rsidRPr="003C3859">
              <w:rPr>
                <w:rFonts w:eastAsia="Calibri" w:cs="Arial"/>
                <w:lang w:val="ru-RU"/>
              </w:rPr>
              <w:lastRenderedPageBreak/>
              <w:t>электронной почте.</w:t>
            </w:r>
          </w:p>
        </w:tc>
        <w:tc>
          <w:tcPr>
            <w:tcW w:w="1131" w:type="pct"/>
            <w:shd w:val="clear" w:color="auto" w:fill="auto"/>
          </w:tcPr>
          <w:p w14:paraId="18C957A1" w14:textId="19504149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 xml:space="preserve">Заказчик отправляет сообщение об Инциденте </w:t>
            </w:r>
            <w:r w:rsidR="00E70C33">
              <w:rPr>
                <w:rFonts w:eastAsia="Calibri" w:cs="Arial"/>
                <w:lang w:val="ru-RU"/>
              </w:rPr>
              <w:t xml:space="preserve">в систему обработки обращений Заказчики или </w:t>
            </w:r>
            <w:r w:rsidRPr="003C3859">
              <w:rPr>
                <w:rFonts w:eastAsia="Calibri" w:cs="Arial"/>
                <w:lang w:val="ru-RU"/>
              </w:rPr>
              <w:t xml:space="preserve">по </w:t>
            </w:r>
            <w:r w:rsidRPr="003C3859">
              <w:rPr>
                <w:rFonts w:eastAsia="Calibri" w:cs="Arial"/>
                <w:lang w:val="ru-RU"/>
              </w:rPr>
              <w:lastRenderedPageBreak/>
              <w:t>электронной почте.</w:t>
            </w:r>
          </w:p>
        </w:tc>
      </w:tr>
      <w:tr w:rsidR="003C3859" w:rsidRPr="00780260" w14:paraId="5798FA8D" w14:textId="77777777" w:rsidTr="00631DAE">
        <w:trPr>
          <w:trHeight w:val="3660"/>
        </w:trPr>
        <w:tc>
          <w:tcPr>
            <w:tcW w:w="616" w:type="pct"/>
          </w:tcPr>
          <w:p w14:paraId="77033F8F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2AA40D1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eastAsia="Calibri" w:cs="Arial"/>
              </w:rPr>
              <w:t>Подтверждение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получения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сообщения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об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Инциденте</w:t>
            </w:r>
            <w:proofErr w:type="spellEnd"/>
          </w:p>
          <w:p w14:paraId="6885731B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</w:p>
          <w:p w14:paraId="629DC333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5956670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подтверждает получение сообщения об Инциденте непосредственно в ходе телефонного разговора инициированного Заказчиком.</w:t>
            </w:r>
          </w:p>
          <w:p w14:paraId="62BC2A4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67AF97DF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дублирует подтверждение по электронной почте в течение 60 минут рабочего времени, следующего за временем получения телефонного звонка от Заказчика.</w:t>
            </w:r>
          </w:p>
          <w:p w14:paraId="5662464A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32F5D8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устанавливается на «Принят».</w:t>
            </w:r>
          </w:p>
        </w:tc>
        <w:tc>
          <w:tcPr>
            <w:tcW w:w="1131" w:type="pct"/>
            <w:shd w:val="clear" w:color="auto" w:fill="auto"/>
          </w:tcPr>
          <w:p w14:paraId="1B23B2F3" w14:textId="6CB97851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Исполнитель подтверждает получение сообщения об Инциденте </w:t>
            </w:r>
            <w:r w:rsidR="00631DAE">
              <w:rPr>
                <w:rFonts w:eastAsia="Calibri" w:cs="Arial"/>
                <w:lang w:val="ru-RU"/>
              </w:rPr>
              <w:t>в системе обработки обращений Заказчика или</w:t>
            </w:r>
            <w:r w:rsidR="00631DAE" w:rsidRPr="003C3859">
              <w:rPr>
                <w:rFonts w:eastAsia="Calibri" w:cs="Arial"/>
                <w:lang w:val="ru-RU"/>
              </w:rPr>
              <w:t xml:space="preserve"> </w:t>
            </w:r>
            <w:r w:rsidRPr="003C3859">
              <w:rPr>
                <w:rFonts w:eastAsia="Calibri" w:cs="Arial"/>
                <w:lang w:val="ru-RU"/>
              </w:rPr>
              <w:t>по электронной почте в течение 2 (двух) часов рабочего времени, следующего за временем получения электронного письма от Заказчика.</w:t>
            </w:r>
          </w:p>
          <w:p w14:paraId="4394E2E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41D099F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устанавливается на «Принят».</w:t>
            </w:r>
          </w:p>
        </w:tc>
        <w:tc>
          <w:tcPr>
            <w:tcW w:w="1131" w:type="pct"/>
            <w:shd w:val="clear" w:color="auto" w:fill="auto"/>
          </w:tcPr>
          <w:p w14:paraId="7AAF9CD3" w14:textId="626750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Исполнитель подтверждает получение сообщения об Инциденте </w:t>
            </w:r>
            <w:r w:rsidR="00631DAE">
              <w:rPr>
                <w:rFonts w:eastAsia="Calibri" w:cs="Arial"/>
                <w:lang w:val="ru-RU"/>
              </w:rPr>
              <w:t>в системе обработки обращений Заказчика или</w:t>
            </w:r>
            <w:r w:rsidR="00631DAE" w:rsidRPr="003C3859">
              <w:rPr>
                <w:rFonts w:eastAsia="Calibri" w:cs="Arial"/>
                <w:lang w:val="ru-RU"/>
              </w:rPr>
              <w:t xml:space="preserve"> </w:t>
            </w:r>
            <w:r w:rsidRPr="003C3859">
              <w:rPr>
                <w:rFonts w:eastAsia="Calibri" w:cs="Arial"/>
                <w:lang w:val="ru-RU"/>
              </w:rPr>
              <w:t>по электронной почте в течение 4-х часов рабочего времени, следующего за временем получения электронного письма от Заказчика.</w:t>
            </w:r>
          </w:p>
          <w:p w14:paraId="3E2053C6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793A95FD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устанавливается на «Принят».</w:t>
            </w:r>
          </w:p>
        </w:tc>
      </w:tr>
      <w:tr w:rsidR="003C3859" w:rsidRPr="00780260" w14:paraId="79039CF0" w14:textId="77777777" w:rsidTr="00631DAE">
        <w:trPr>
          <w:trHeight w:val="2254"/>
        </w:trPr>
        <w:tc>
          <w:tcPr>
            <w:tcW w:w="616" w:type="pct"/>
          </w:tcPr>
          <w:p w14:paraId="22D0E5F1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4312058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Начало работы по устранению Инцидента</w:t>
            </w:r>
          </w:p>
        </w:tc>
        <w:tc>
          <w:tcPr>
            <w:tcW w:w="1166" w:type="pct"/>
            <w:shd w:val="clear" w:color="auto" w:fill="auto"/>
          </w:tcPr>
          <w:p w14:paraId="256BB22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приступает к устранению Инцидента не позднее, чем через 2 (два) рабочих часа после получения сообщения об Инциденте.</w:t>
            </w:r>
          </w:p>
          <w:p w14:paraId="2F9DC03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1E47744" w14:textId="1FE9D53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Подтверждение о начале работ </w:t>
            </w:r>
            <w:r w:rsidR="00631DAE">
              <w:rPr>
                <w:rFonts w:eastAsia="Calibri" w:cs="Arial"/>
                <w:lang w:val="ru-RU"/>
              </w:rPr>
              <w:t xml:space="preserve">фиксируется в системе обработки обращений Заказчика или </w:t>
            </w:r>
            <w:r w:rsidRPr="003C3859">
              <w:rPr>
                <w:rFonts w:eastAsia="Calibri" w:cs="Arial"/>
                <w:lang w:val="ru-RU"/>
              </w:rPr>
              <w:t>отсылается Заказчику по электронной почте.</w:t>
            </w:r>
          </w:p>
          <w:p w14:paraId="44C051C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210D421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4AD323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По согласованию с Заказчиком устранение Инцидента может начаться или продолжаться в нерабочее время.</w:t>
            </w:r>
          </w:p>
          <w:p w14:paraId="536B405D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491235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>Статус Инцидента меняется на «В обработке».</w:t>
            </w:r>
          </w:p>
        </w:tc>
        <w:tc>
          <w:tcPr>
            <w:tcW w:w="1131" w:type="pct"/>
            <w:shd w:val="clear" w:color="auto" w:fill="auto"/>
          </w:tcPr>
          <w:p w14:paraId="5F050470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>Исполнитель приступает к устранению Инцидента не позднее, чем через 4 (четыре) рабочих часа после получения сообщения об Инциденте.</w:t>
            </w:r>
          </w:p>
          <w:p w14:paraId="5E881BFF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26A6E147" w14:textId="217229FD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Подтверждение о начале работ </w:t>
            </w:r>
            <w:r w:rsidR="00631DAE">
              <w:rPr>
                <w:rFonts w:eastAsia="Calibri" w:cs="Arial"/>
                <w:lang w:val="ru-RU"/>
              </w:rPr>
              <w:t>фиксируется в системе обработки обращений Заказчика или</w:t>
            </w:r>
            <w:r w:rsidR="00631DAE" w:rsidRPr="003C3859">
              <w:rPr>
                <w:rFonts w:eastAsia="Calibri" w:cs="Arial"/>
                <w:lang w:val="ru-RU"/>
              </w:rPr>
              <w:t xml:space="preserve"> </w:t>
            </w:r>
            <w:r w:rsidRPr="003C3859">
              <w:rPr>
                <w:rFonts w:eastAsia="Calibri" w:cs="Arial"/>
                <w:lang w:val="ru-RU"/>
              </w:rPr>
              <w:t>отсылается Заказчику по электронной почте.</w:t>
            </w:r>
          </w:p>
          <w:p w14:paraId="6B1D19E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677030A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По согласованию с Заказчиком устранение Инцидента может начаться или продолжаться в нерабочее время.</w:t>
            </w:r>
          </w:p>
          <w:p w14:paraId="2EBC6DED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0DD1E80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Статус Инцидента </w:t>
            </w:r>
            <w:r w:rsidRPr="003C3859">
              <w:rPr>
                <w:rFonts w:eastAsia="Calibri" w:cs="Arial"/>
                <w:lang w:val="ru-RU"/>
              </w:rPr>
              <w:lastRenderedPageBreak/>
              <w:t>меняется на «В обработке».</w:t>
            </w:r>
          </w:p>
        </w:tc>
        <w:tc>
          <w:tcPr>
            <w:tcW w:w="1131" w:type="pct"/>
            <w:shd w:val="clear" w:color="auto" w:fill="auto"/>
          </w:tcPr>
          <w:p w14:paraId="48BF209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 xml:space="preserve">Исполнитель приступает к устранению Инцидента не позднее, чем через 8 (восемь) рабочих часов после получения сообщения об Инциденте. </w:t>
            </w:r>
          </w:p>
          <w:p w14:paraId="67524F1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BB035F0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По согласованию с Заказчиком начало работы по устранению Инцидента может быть отложено на более поздний срок.</w:t>
            </w:r>
          </w:p>
          <w:p w14:paraId="12120E35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9B7CECF" w14:textId="793479F6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Подтверждение о начале работ </w:t>
            </w:r>
            <w:r w:rsidR="00631DAE">
              <w:rPr>
                <w:rFonts w:eastAsia="Calibri" w:cs="Arial"/>
                <w:lang w:val="ru-RU"/>
              </w:rPr>
              <w:t xml:space="preserve">фиксируется в системе обработки </w:t>
            </w:r>
            <w:proofErr w:type="spellStart"/>
            <w:r w:rsidR="00631DAE">
              <w:rPr>
                <w:rFonts w:eastAsia="Calibri" w:cs="Arial"/>
                <w:lang w:val="ru-RU"/>
              </w:rPr>
              <w:t>обращейий</w:t>
            </w:r>
            <w:proofErr w:type="spellEnd"/>
            <w:r w:rsidR="00631DAE">
              <w:rPr>
                <w:rFonts w:eastAsia="Calibri" w:cs="Arial"/>
                <w:lang w:val="ru-RU"/>
              </w:rPr>
              <w:t xml:space="preserve"> Заказчика или</w:t>
            </w:r>
            <w:r w:rsidR="00631DAE" w:rsidRPr="003C3859">
              <w:rPr>
                <w:rFonts w:eastAsia="Calibri" w:cs="Arial"/>
                <w:lang w:val="ru-RU"/>
              </w:rPr>
              <w:t xml:space="preserve"> </w:t>
            </w:r>
            <w:r w:rsidRPr="003C3859">
              <w:rPr>
                <w:rFonts w:eastAsia="Calibri" w:cs="Arial"/>
                <w:lang w:val="ru-RU"/>
              </w:rPr>
              <w:t>отсылается Заказчику по электронной почте.</w:t>
            </w:r>
          </w:p>
          <w:p w14:paraId="7B85C6F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62E1365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Работа по устранению </w:t>
            </w:r>
            <w:r w:rsidRPr="003C3859">
              <w:rPr>
                <w:rFonts w:eastAsia="Calibri" w:cs="Arial"/>
                <w:lang w:val="ru-RU"/>
              </w:rPr>
              <w:lastRenderedPageBreak/>
              <w:t>Инцидента осуществляется только в рабочее время.</w:t>
            </w:r>
          </w:p>
          <w:p w14:paraId="40AAEFA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78B95520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меняется на «В обработке».</w:t>
            </w:r>
          </w:p>
        </w:tc>
      </w:tr>
      <w:tr w:rsidR="003C3859" w:rsidRPr="00780260" w14:paraId="38D078A8" w14:textId="77777777" w:rsidTr="00631DAE">
        <w:trPr>
          <w:trHeight w:val="2254"/>
        </w:trPr>
        <w:tc>
          <w:tcPr>
            <w:tcW w:w="616" w:type="pct"/>
          </w:tcPr>
          <w:p w14:paraId="1AA8AE2F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42EF273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eastAsia="Calibri" w:cs="Arial"/>
              </w:rPr>
              <w:t>Устранение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Инцидента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14:paraId="28181A8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Первым приоритетом Исполнителя является скорейшее восстановление недоступных функций и данных системы.</w:t>
            </w:r>
          </w:p>
          <w:p w14:paraId="3FBE13A5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7A0464A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Заказчик выделяет необходимые ресурсы со своей стороны для взаимодействия с Исполнителем по устранению Инцидента. </w:t>
            </w:r>
          </w:p>
          <w:p w14:paraId="1597227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6212963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Исполнитель вправе понизить уровень серьезности </w:t>
            </w:r>
            <w:r w:rsidRPr="003C3859">
              <w:rPr>
                <w:rFonts w:eastAsia="Calibri" w:cs="Arial"/>
                <w:lang w:val="ru-RU"/>
              </w:rPr>
              <w:lastRenderedPageBreak/>
              <w:t>Инцидента, если Заказчик не сможет предоставить необходимые ресурсы или требуемую оперативность реакции на вопросы Исполнителя.</w:t>
            </w:r>
          </w:p>
          <w:p w14:paraId="7E1A558F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351400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Поиск и анализ причины Инцидента должен быть по возможности отложен до восстановления нормального функционирования системы или нахождения обходного пути для продолжения работы пользователей.</w:t>
            </w:r>
          </w:p>
          <w:p w14:paraId="6F11B709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  <w:tc>
          <w:tcPr>
            <w:tcW w:w="1131" w:type="pct"/>
            <w:shd w:val="clear" w:color="auto" w:fill="auto"/>
          </w:tcPr>
          <w:p w14:paraId="15A7CF7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>Первым приоритетом Исполнителя является скорейшее восстановление недоступных функций и данных системы.</w:t>
            </w:r>
          </w:p>
          <w:p w14:paraId="61CE604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4550FE3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Заказчик выделяет необходимые ресурсы со своей стороны для взаимодействия с Исполнителем по устранению Инцидента. </w:t>
            </w:r>
          </w:p>
          <w:p w14:paraId="4F34EC6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3C5D16C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Исполнитель вправе понизить уровень серьезности </w:t>
            </w:r>
            <w:r w:rsidRPr="003C3859">
              <w:rPr>
                <w:rFonts w:eastAsia="Calibri" w:cs="Arial"/>
                <w:lang w:val="ru-RU"/>
              </w:rPr>
              <w:lastRenderedPageBreak/>
              <w:t>Инцидента, если Заказчик не сможет предоставить необходимые ресурсы или требуемую оперативность реакции на вопросы Исполнителя.</w:t>
            </w:r>
          </w:p>
          <w:p w14:paraId="5A3F024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3E47CDB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Поиск и анализ причины Инцидента должен быть по возможности отложен до восстановления нормального функционирования системы или нахождения обходного пути для продолжения работы пользователей.</w:t>
            </w:r>
          </w:p>
          <w:p w14:paraId="63ABB07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  <w:tc>
          <w:tcPr>
            <w:tcW w:w="1131" w:type="pct"/>
            <w:shd w:val="clear" w:color="auto" w:fill="auto"/>
          </w:tcPr>
          <w:p w14:paraId="4C9E581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>Первым приоритетом Исполнителя является скорейшее восстановление недоступных функций и данных системы.</w:t>
            </w:r>
          </w:p>
          <w:p w14:paraId="71A567E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7190000D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Заказчик выделяет необходимые ресурсы со своей стороны для взаимодействия с Исполнителем по устранению Инцидента. </w:t>
            </w:r>
          </w:p>
          <w:p w14:paraId="3C5EEBBB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20864C4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Поиск и анализ причины Инцидента должен быть по </w:t>
            </w:r>
            <w:r w:rsidRPr="003C3859">
              <w:rPr>
                <w:rFonts w:eastAsia="Calibri" w:cs="Arial"/>
                <w:lang w:val="ru-RU"/>
              </w:rPr>
              <w:lastRenderedPageBreak/>
              <w:t>возможности отложен до восстановления нормального функционирования системы или нахождения обходного пути для продолжения работы пользователей.</w:t>
            </w:r>
          </w:p>
          <w:p w14:paraId="5B286C52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</w:tr>
      <w:tr w:rsidR="003C3859" w:rsidRPr="00780260" w14:paraId="1B146514" w14:textId="77777777" w:rsidTr="00631DAE">
        <w:trPr>
          <w:trHeight w:val="1515"/>
        </w:trPr>
        <w:tc>
          <w:tcPr>
            <w:tcW w:w="616" w:type="pct"/>
          </w:tcPr>
          <w:p w14:paraId="30B189F7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2606A6C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Передача Заказчику результатов работы над устранением Инцидента.</w:t>
            </w:r>
          </w:p>
        </w:tc>
        <w:tc>
          <w:tcPr>
            <w:tcW w:w="1166" w:type="pct"/>
            <w:shd w:val="clear" w:color="auto" w:fill="auto"/>
          </w:tcPr>
          <w:p w14:paraId="68388577" w14:textId="78EE3821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информирует заказчика</w:t>
            </w:r>
            <w:r w:rsidR="00631DAE">
              <w:rPr>
                <w:rFonts w:eastAsia="Calibri" w:cs="Arial"/>
                <w:lang w:val="ru-RU"/>
              </w:rPr>
              <w:t xml:space="preserve"> в системе обработки обращений заказчика или</w:t>
            </w:r>
            <w:r w:rsidRPr="003C3859">
              <w:rPr>
                <w:rFonts w:eastAsia="Calibri" w:cs="Arial"/>
                <w:lang w:val="ru-RU"/>
              </w:rPr>
              <w:t xml:space="preserve"> по электронной </w:t>
            </w:r>
            <w:r w:rsidRPr="003C3859">
              <w:rPr>
                <w:rFonts w:eastAsia="Calibri" w:cs="Arial"/>
                <w:lang w:val="ru-RU"/>
              </w:rPr>
              <w:lastRenderedPageBreak/>
              <w:t>почте, что Инцидент устранен.</w:t>
            </w:r>
          </w:p>
          <w:p w14:paraId="5B652562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  <w:tc>
          <w:tcPr>
            <w:tcW w:w="1131" w:type="pct"/>
            <w:shd w:val="clear" w:color="auto" w:fill="auto"/>
          </w:tcPr>
          <w:p w14:paraId="525803CE" w14:textId="4A460C2D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>Исполнитель информирует заказчика по</w:t>
            </w:r>
            <w:r w:rsidR="00631DAE">
              <w:rPr>
                <w:rFonts w:eastAsia="Calibri" w:cs="Arial"/>
                <w:lang w:val="ru-RU"/>
              </w:rPr>
              <w:t xml:space="preserve"> в системе обработки обращений заказчика или</w:t>
            </w:r>
            <w:r w:rsidRPr="003C3859">
              <w:rPr>
                <w:rFonts w:eastAsia="Calibri" w:cs="Arial"/>
                <w:lang w:val="ru-RU"/>
              </w:rPr>
              <w:t xml:space="preserve"> электронной </w:t>
            </w:r>
            <w:r w:rsidRPr="003C3859">
              <w:rPr>
                <w:rFonts w:eastAsia="Calibri" w:cs="Arial"/>
                <w:lang w:val="ru-RU"/>
              </w:rPr>
              <w:lastRenderedPageBreak/>
              <w:t>почте, что Инцидент устранен.</w:t>
            </w:r>
          </w:p>
          <w:p w14:paraId="1596E28F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  <w:tc>
          <w:tcPr>
            <w:tcW w:w="1131" w:type="pct"/>
            <w:shd w:val="clear" w:color="auto" w:fill="auto"/>
          </w:tcPr>
          <w:p w14:paraId="587E50EE" w14:textId="66B0F7F9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lastRenderedPageBreak/>
              <w:t xml:space="preserve">Исполнитель информирует заказчика </w:t>
            </w:r>
            <w:r w:rsidR="00631DAE">
              <w:rPr>
                <w:rFonts w:eastAsia="Calibri" w:cs="Arial"/>
                <w:lang w:val="ru-RU"/>
              </w:rPr>
              <w:t>в системе обработки обращений заказчика или</w:t>
            </w:r>
            <w:r w:rsidR="00631DAE" w:rsidRPr="003C3859">
              <w:rPr>
                <w:rFonts w:eastAsia="Calibri" w:cs="Arial"/>
                <w:lang w:val="ru-RU"/>
              </w:rPr>
              <w:t xml:space="preserve"> </w:t>
            </w:r>
            <w:r w:rsidRPr="003C3859">
              <w:rPr>
                <w:rFonts w:eastAsia="Calibri" w:cs="Arial"/>
                <w:lang w:val="ru-RU"/>
              </w:rPr>
              <w:t xml:space="preserve">по электронной </w:t>
            </w:r>
            <w:r w:rsidRPr="003C3859">
              <w:rPr>
                <w:rFonts w:eastAsia="Calibri" w:cs="Arial"/>
                <w:lang w:val="ru-RU"/>
              </w:rPr>
              <w:lastRenderedPageBreak/>
              <w:t>почте, что Инцидент устранен.</w:t>
            </w:r>
          </w:p>
          <w:p w14:paraId="00F3912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</w:tc>
      </w:tr>
      <w:tr w:rsidR="003C3859" w:rsidRPr="00780260" w14:paraId="30462240" w14:textId="77777777" w:rsidTr="00631DAE">
        <w:trPr>
          <w:trHeight w:val="1901"/>
        </w:trPr>
        <w:tc>
          <w:tcPr>
            <w:tcW w:w="616" w:type="pct"/>
          </w:tcPr>
          <w:p w14:paraId="787676EC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73BD2C16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eastAsia="Calibri" w:cs="Arial"/>
              </w:rPr>
              <w:t>Подтверждение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Заказчиком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устранения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Инцидента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</w:p>
        </w:tc>
        <w:tc>
          <w:tcPr>
            <w:tcW w:w="1166" w:type="pct"/>
            <w:shd w:val="clear" w:color="auto" w:fill="auto"/>
          </w:tcPr>
          <w:p w14:paraId="3B514340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Заказчик направляет Исполнителю по электронной почте подтверждение того, что Инцидент устранен.</w:t>
            </w:r>
          </w:p>
          <w:p w14:paraId="378DC072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541CB93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меняется на «Закрыт».</w:t>
            </w:r>
          </w:p>
        </w:tc>
        <w:tc>
          <w:tcPr>
            <w:tcW w:w="1131" w:type="pct"/>
            <w:shd w:val="clear" w:color="auto" w:fill="auto"/>
          </w:tcPr>
          <w:p w14:paraId="6CFA7115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Заказчик направляет Исполнителю по электронной почте подтверждение того, что Инцидент устранен.</w:t>
            </w:r>
          </w:p>
          <w:p w14:paraId="5ED1275E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8E01AFD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меняется на «Закрыт».</w:t>
            </w:r>
          </w:p>
        </w:tc>
        <w:tc>
          <w:tcPr>
            <w:tcW w:w="1131" w:type="pct"/>
            <w:shd w:val="clear" w:color="auto" w:fill="auto"/>
          </w:tcPr>
          <w:p w14:paraId="68782D9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Заказчик направляет Исполнителю по электронной почте подтверждение того, что Инцидент устранен.</w:t>
            </w:r>
          </w:p>
          <w:p w14:paraId="6579868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022A6A8C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Статус Инцидента меняется на «Закрыт».</w:t>
            </w:r>
          </w:p>
        </w:tc>
      </w:tr>
      <w:tr w:rsidR="003C3859" w:rsidRPr="00780260" w14:paraId="0F0DEC06" w14:textId="77777777" w:rsidTr="00631DAE">
        <w:trPr>
          <w:trHeight w:val="2254"/>
        </w:trPr>
        <w:tc>
          <w:tcPr>
            <w:tcW w:w="616" w:type="pct"/>
          </w:tcPr>
          <w:p w14:paraId="0D9CBD3C" w14:textId="77777777" w:rsidR="003C3859" w:rsidRPr="003C3859" w:rsidRDefault="003C3859" w:rsidP="003C3859">
            <w:pPr>
              <w:keepLines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eastAsia="Calibri" w:cs="Arial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11451F4" w14:textId="77777777" w:rsidR="003C3859" w:rsidRPr="006076DE" w:rsidRDefault="003C3859" w:rsidP="007C12E7">
            <w:pPr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eastAsia="Calibri" w:cs="Arial"/>
              </w:rPr>
              <w:t>Анализ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причин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возникновения</w:t>
            </w:r>
            <w:proofErr w:type="spellEnd"/>
            <w:r w:rsidRPr="006076DE">
              <w:rPr>
                <w:rFonts w:eastAsia="Calibri" w:cs="Arial"/>
              </w:rPr>
              <w:t xml:space="preserve"> </w:t>
            </w:r>
            <w:proofErr w:type="spellStart"/>
            <w:r w:rsidRPr="006076DE">
              <w:rPr>
                <w:rFonts w:eastAsia="Calibri" w:cs="Arial"/>
              </w:rPr>
              <w:t>Инцидента</w:t>
            </w:r>
            <w:proofErr w:type="spellEnd"/>
          </w:p>
        </w:tc>
        <w:tc>
          <w:tcPr>
            <w:tcW w:w="3427" w:type="pct"/>
            <w:gridSpan w:val="3"/>
            <w:shd w:val="clear" w:color="auto" w:fill="auto"/>
          </w:tcPr>
          <w:p w14:paraId="1398EF76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осуществляет локализацию и формализацию причин, приведших к возникновению Инцидента (если эти причины не были выявлены на этапе устранения Инцидента).</w:t>
            </w:r>
          </w:p>
          <w:p w14:paraId="6D2731F8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3B4E87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Исполнитель устраняет причины Инцидента, если они относятся к границам его сферы ответственности.</w:t>
            </w:r>
          </w:p>
          <w:p w14:paraId="1E46C9F7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CBECD1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 xml:space="preserve">Если причины Инцидента не связаны с ошибкой прикладного программного обеспечения, и требуют модификации (доработки) предмета технической </w:t>
            </w:r>
            <w:r w:rsidRPr="003C3859">
              <w:rPr>
                <w:rFonts w:eastAsia="Calibri" w:cs="Arial"/>
                <w:lang w:val="ru-RU"/>
              </w:rPr>
              <w:lastRenderedPageBreak/>
              <w:t>поддержки, то Исполнитель согласует с Заказчиком такие доработки.</w:t>
            </w:r>
          </w:p>
          <w:p w14:paraId="5ECDD1D3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18F784E4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Если возможно, Исполнитель разрабатывает меры по предотвращению рисков возникновения аналогичных Инцидентов в будущем.</w:t>
            </w:r>
          </w:p>
          <w:p w14:paraId="6AB1CE41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</w:p>
          <w:p w14:paraId="424292FE" w14:textId="77777777" w:rsidR="003C3859" w:rsidRPr="003C3859" w:rsidRDefault="003C3859" w:rsidP="007C12E7">
            <w:pPr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eastAsia="Calibri" w:cs="Arial"/>
                <w:lang w:val="ru-RU"/>
              </w:rPr>
              <w:t>Если причины Инцидента находятся в сфере ответственности Заказчика, то Исполнитель уведомляет Заказчика о рекомендуемых мерах по предотвращению рисков возникновения подобных Инцидентов в будущем.</w:t>
            </w:r>
          </w:p>
        </w:tc>
      </w:tr>
    </w:tbl>
    <w:p w14:paraId="6D4D3316" w14:textId="77777777" w:rsidR="003C3859" w:rsidRPr="006076DE" w:rsidRDefault="003C3859" w:rsidP="00631DAE">
      <w:pPr>
        <w:pStyle w:val="Heading2"/>
        <w:keepNext w:val="0"/>
        <w:numPr>
          <w:ilvl w:val="0"/>
          <w:numId w:val="0"/>
        </w:numPr>
        <w:spacing w:line="276" w:lineRule="auto"/>
        <w:ind w:left="360"/>
        <w:jc w:val="both"/>
        <w:rPr>
          <w:b w:val="0"/>
          <w:bCs w:val="0"/>
          <w:i/>
          <w:iCs w:val="0"/>
          <w:lang w:eastAsia="ru-RU"/>
        </w:rPr>
      </w:pPr>
      <w:bookmarkStart w:id="10" w:name="_Toc385171731"/>
    </w:p>
    <w:p w14:paraId="45ADD07F" w14:textId="77777777" w:rsidR="003C3859" w:rsidRPr="006076DE" w:rsidRDefault="003C3859" w:rsidP="00631DAE">
      <w:pPr>
        <w:pStyle w:val="Heading2"/>
        <w:keepNext w:val="0"/>
        <w:numPr>
          <w:ilvl w:val="0"/>
          <w:numId w:val="0"/>
        </w:numPr>
        <w:spacing w:line="276" w:lineRule="auto"/>
        <w:ind w:left="360"/>
        <w:jc w:val="both"/>
        <w:rPr>
          <w:i/>
        </w:rPr>
      </w:pPr>
      <w:r w:rsidRPr="006076DE">
        <w:t>Доступность систем:</w:t>
      </w:r>
    </w:p>
    <w:p w14:paraId="61528E2B" w14:textId="414F67A6" w:rsidR="003C3859" w:rsidRPr="006076DE" w:rsidRDefault="003C3859" w:rsidP="00631DAE">
      <w:pPr>
        <w:pStyle w:val="Heading2"/>
        <w:keepNext w:val="0"/>
        <w:numPr>
          <w:ilvl w:val="0"/>
          <w:numId w:val="0"/>
        </w:numPr>
        <w:spacing w:line="276" w:lineRule="auto"/>
        <w:ind w:left="360"/>
        <w:jc w:val="both"/>
        <w:rPr>
          <w:lang w:eastAsia="x-none"/>
        </w:rPr>
      </w:pPr>
      <w:r w:rsidRPr="006076DE">
        <w:rPr>
          <w:b w:val="0"/>
        </w:rPr>
        <w:t>Доступность систем должна б</w:t>
      </w:r>
      <w:r w:rsidR="00631DAE">
        <w:rPr>
          <w:b w:val="0"/>
        </w:rPr>
        <w:t>ыть обеспечена в соответствии со следующими условиями:</w:t>
      </w:r>
    </w:p>
    <w:p w14:paraId="1C9CA109" w14:textId="387166F4" w:rsidR="003C3859" w:rsidRPr="009927D9" w:rsidRDefault="003C3859" w:rsidP="00631DAE">
      <w:pPr>
        <w:pStyle w:val="BodyText"/>
        <w:spacing w:line="276" w:lineRule="auto"/>
        <w:rPr>
          <w:rFonts w:cs="Arial"/>
          <w:sz w:val="22"/>
          <w:szCs w:val="22"/>
          <w:lang w:eastAsia="x-none"/>
        </w:rPr>
      </w:pPr>
      <w:r w:rsidRPr="00920AE9">
        <w:rPr>
          <w:rFonts w:cs="Arial"/>
          <w:sz w:val="22"/>
          <w:szCs w:val="22"/>
          <w:lang w:eastAsia="x-none"/>
        </w:rPr>
        <w:t xml:space="preserve">Исполнитель должен обеспечить доступность технической поддержки в выходные дни и нерабочие часы дежурными специалистами, которые должны быть доступны в рамках поддержки </w:t>
      </w:r>
      <w:r w:rsidR="00631DAE">
        <w:rPr>
          <w:rFonts w:cs="Arial"/>
          <w:sz w:val="22"/>
          <w:szCs w:val="22"/>
          <w:lang w:eastAsia="x-none"/>
        </w:rPr>
        <w:t>с 9.00 до 19.00</w:t>
      </w:r>
      <w:r w:rsidRPr="00920AE9">
        <w:rPr>
          <w:rFonts w:cs="Arial"/>
          <w:sz w:val="22"/>
          <w:szCs w:val="22"/>
          <w:lang w:eastAsia="x-none"/>
        </w:rPr>
        <w:t xml:space="preserve">. В случае Инцидента уровня не ниже Высокий дежурные специалисты должны подключить к решению проблемы специалистов технической поддержки для решения Инцидента согласно требованиям </w:t>
      </w:r>
      <w:r w:rsidRPr="00920AE9">
        <w:rPr>
          <w:rFonts w:cs="Arial"/>
          <w:sz w:val="22"/>
          <w:szCs w:val="22"/>
          <w:lang w:val="en-US" w:eastAsia="x-none"/>
        </w:rPr>
        <w:t>SLA</w:t>
      </w:r>
      <w:r w:rsidRPr="00920AE9">
        <w:rPr>
          <w:rFonts w:cs="Arial"/>
          <w:sz w:val="22"/>
          <w:szCs w:val="22"/>
          <w:lang w:eastAsia="x-none"/>
        </w:rPr>
        <w:t>.</w:t>
      </w:r>
    </w:p>
    <w:p w14:paraId="3FDA857A" w14:textId="77777777" w:rsidR="003C3859" w:rsidRPr="006076DE" w:rsidRDefault="003C3859" w:rsidP="003C3859">
      <w:pPr>
        <w:pStyle w:val="BodyText"/>
        <w:spacing w:line="276" w:lineRule="auto"/>
        <w:jc w:val="both"/>
        <w:rPr>
          <w:rFonts w:cs="Arial"/>
          <w:sz w:val="22"/>
          <w:szCs w:val="22"/>
          <w:lang w:eastAsia="x-none"/>
        </w:rPr>
      </w:pPr>
      <w:r w:rsidRPr="006076DE">
        <w:rPr>
          <w:rFonts w:cs="Arial"/>
          <w:sz w:val="22"/>
          <w:szCs w:val="22"/>
          <w:lang w:eastAsia="x-none"/>
        </w:rPr>
        <w:t>Исполнитель должен заранее согласовывать с заказчиком время проведения техническо-ремонтных работ.</w:t>
      </w:r>
    </w:p>
    <w:p w14:paraId="3D3F5D6E" w14:textId="77777777" w:rsidR="003C3859" w:rsidRPr="006076DE" w:rsidRDefault="003C3859" w:rsidP="003C3859">
      <w:pPr>
        <w:pStyle w:val="BodyText"/>
        <w:spacing w:line="276" w:lineRule="auto"/>
        <w:jc w:val="both"/>
        <w:rPr>
          <w:rFonts w:cs="Arial"/>
          <w:sz w:val="22"/>
          <w:szCs w:val="22"/>
          <w:lang w:eastAsia="x-none"/>
        </w:rPr>
      </w:pPr>
      <w:r w:rsidRPr="006076DE">
        <w:rPr>
          <w:rFonts w:cs="Arial"/>
          <w:sz w:val="22"/>
          <w:szCs w:val="22"/>
          <w:lang w:eastAsia="x-none"/>
        </w:rPr>
        <w:t>Недоступность системы по причине недоступности серверов и каналов связи явля</w:t>
      </w:r>
      <w:r>
        <w:rPr>
          <w:rFonts w:cs="Arial"/>
          <w:sz w:val="22"/>
          <w:szCs w:val="22"/>
          <w:lang w:eastAsia="x-none"/>
        </w:rPr>
        <w:t>ется ответственностью Заказчика</w:t>
      </w:r>
    </w:p>
    <w:p w14:paraId="5108032D" w14:textId="77777777" w:rsidR="003C3859" w:rsidRPr="003C3859" w:rsidRDefault="003C3859" w:rsidP="003C3859">
      <w:pPr>
        <w:spacing w:line="276" w:lineRule="auto"/>
        <w:rPr>
          <w:rFonts w:cs="Arial"/>
          <w:lang w:val="ru-RU"/>
        </w:rPr>
      </w:pPr>
    </w:p>
    <w:p w14:paraId="3B6EC930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rPr>
          <w:sz w:val="22"/>
          <w:szCs w:val="22"/>
          <w:lang w:val="ru-RU"/>
        </w:rPr>
      </w:pPr>
      <w:r w:rsidRPr="003C3859">
        <w:rPr>
          <w:sz w:val="22"/>
          <w:szCs w:val="22"/>
          <w:lang w:val="ru-RU"/>
        </w:rPr>
        <w:t>Обработка Запросов на консультации пользователей</w:t>
      </w:r>
      <w:bookmarkEnd w:id="10"/>
      <w:r w:rsidRPr="003C3859">
        <w:rPr>
          <w:sz w:val="22"/>
          <w:szCs w:val="22"/>
          <w:lang w:val="ru-RU"/>
        </w:rPr>
        <w:t xml:space="preserve"> и инцидентов</w:t>
      </w:r>
    </w:p>
    <w:p w14:paraId="2429093C" w14:textId="77777777" w:rsidR="003C3859" w:rsidRPr="006076DE" w:rsidRDefault="003C3859" w:rsidP="003C3859">
      <w:pPr>
        <w:pStyle w:val="Heading2"/>
        <w:keepNext w:val="0"/>
        <w:spacing w:line="276" w:lineRule="auto"/>
        <w:jc w:val="both"/>
      </w:pPr>
      <w:r w:rsidRPr="006076DE">
        <w:rPr>
          <w:b w:val="0"/>
        </w:rPr>
        <w:t>Временные показатели предоставления услуг (SLA) определяются в соответствии с Таблиц</w:t>
      </w:r>
      <w:r>
        <w:rPr>
          <w:b w:val="0"/>
        </w:rPr>
        <w:t>ей</w:t>
      </w:r>
      <w:r w:rsidRPr="006076DE">
        <w:rPr>
          <w:b w:val="0"/>
        </w:rPr>
        <w:t xml:space="preserve"> 2</w:t>
      </w:r>
    </w:p>
    <w:p w14:paraId="5554119F" w14:textId="77777777" w:rsidR="003C3859" w:rsidRPr="003C3859" w:rsidRDefault="003C3859" w:rsidP="003C3859">
      <w:pPr>
        <w:spacing w:line="276" w:lineRule="auto"/>
        <w:rPr>
          <w:rFonts w:cs="Arial"/>
          <w:lang w:val="ru-RU"/>
        </w:rPr>
      </w:pPr>
    </w:p>
    <w:p w14:paraId="1534DDE7" w14:textId="77777777" w:rsidR="003C3859" w:rsidRPr="006076DE" w:rsidRDefault="003C3859" w:rsidP="003C3859">
      <w:pPr>
        <w:pStyle w:val="Caption"/>
        <w:keepNext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6076DE">
        <w:rPr>
          <w:rFonts w:ascii="Arial" w:hAnsi="Arial" w:cs="Arial"/>
          <w:b w:val="0"/>
          <w:sz w:val="22"/>
          <w:szCs w:val="22"/>
        </w:rPr>
        <w:lastRenderedPageBreak/>
        <w:t xml:space="preserve">Таблица 2. Временные показатели услуг технической поддержки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089"/>
        <w:gridCol w:w="1915"/>
        <w:gridCol w:w="2403"/>
      </w:tblGrid>
      <w:tr w:rsidR="003C3859" w:rsidRPr="00780260" w14:paraId="01099989" w14:textId="77777777" w:rsidTr="007C12E7">
        <w:trPr>
          <w:tblHeader/>
          <w:jc w:val="center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1EE" w14:textId="77777777" w:rsidR="003C3859" w:rsidRPr="006076DE" w:rsidRDefault="003C3859" w:rsidP="007C12E7">
            <w:pPr>
              <w:keepLines/>
              <w:suppressAutoHyphens/>
              <w:spacing w:line="276" w:lineRule="auto"/>
              <w:ind w:firstLine="709"/>
              <w:jc w:val="center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  <w:bCs/>
              </w:rPr>
              <w:t>Показатели</w:t>
            </w:r>
            <w:proofErr w:type="spellEnd"/>
            <w:r w:rsidRPr="006076DE">
              <w:rPr>
                <w:rFonts w:cs="Arial"/>
                <w:bCs/>
              </w:rPr>
              <w:t xml:space="preserve"> 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4FB" w14:textId="77777777" w:rsidR="003C3859" w:rsidRPr="003C3859" w:rsidRDefault="003C3859" w:rsidP="007C12E7">
            <w:pPr>
              <w:keepLines/>
              <w:suppressAutoHyphens/>
              <w:spacing w:line="276" w:lineRule="auto"/>
              <w:jc w:val="center"/>
              <w:rPr>
                <w:rFonts w:eastAsia="Calibri" w:cs="Arial"/>
                <w:lang w:val="ru-RU"/>
              </w:rPr>
            </w:pPr>
            <w:r w:rsidRPr="003C3859">
              <w:rPr>
                <w:rFonts w:cs="Arial"/>
                <w:bCs/>
                <w:lang w:val="ru-RU"/>
              </w:rPr>
              <w:t>Время исполнения, для Проблем с критичностью:</w:t>
            </w:r>
          </w:p>
        </w:tc>
      </w:tr>
      <w:tr w:rsidR="003C3859" w:rsidRPr="006076DE" w14:paraId="0BC66999" w14:textId="77777777" w:rsidTr="007C12E7">
        <w:trPr>
          <w:tblHeader/>
          <w:jc w:val="center"/>
        </w:trPr>
        <w:tc>
          <w:tcPr>
            <w:tcW w:w="1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0A8" w14:textId="77777777" w:rsidR="003C3859" w:rsidRPr="003C3859" w:rsidRDefault="003C3859" w:rsidP="007C12E7">
            <w:pPr>
              <w:keepLines/>
              <w:spacing w:line="276" w:lineRule="auto"/>
              <w:rPr>
                <w:rFonts w:eastAsia="Calibri" w:cs="Arial"/>
                <w:lang w:val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D75" w14:textId="77777777" w:rsidR="003C3859" w:rsidRPr="006076DE" w:rsidRDefault="003C3859" w:rsidP="007C12E7">
            <w:pPr>
              <w:keepLines/>
              <w:suppressAutoHyphens/>
              <w:spacing w:line="276" w:lineRule="auto"/>
              <w:jc w:val="center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  <w:bCs/>
              </w:rPr>
              <w:t>Наивысший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38C" w14:textId="77777777" w:rsidR="003C3859" w:rsidRPr="006076DE" w:rsidRDefault="003C3859" w:rsidP="007C12E7">
            <w:pPr>
              <w:keepLines/>
              <w:suppressAutoHyphens/>
              <w:spacing w:line="276" w:lineRule="auto"/>
              <w:jc w:val="center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  <w:bCs/>
              </w:rPr>
              <w:t>Высокий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705" w14:textId="77777777" w:rsidR="003C3859" w:rsidRPr="006076DE" w:rsidRDefault="003C3859" w:rsidP="007C12E7">
            <w:pPr>
              <w:keepLines/>
              <w:suppressAutoHyphens/>
              <w:spacing w:line="276" w:lineRule="auto"/>
              <w:jc w:val="center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  <w:bCs/>
              </w:rPr>
              <w:t>Низкий</w:t>
            </w:r>
            <w:proofErr w:type="spellEnd"/>
          </w:p>
          <w:p w14:paraId="1A56B765" w14:textId="77777777" w:rsidR="003C3859" w:rsidRPr="006076DE" w:rsidRDefault="003C3859" w:rsidP="007C12E7">
            <w:pPr>
              <w:keepLines/>
              <w:suppressAutoHyphens/>
              <w:spacing w:line="276" w:lineRule="auto"/>
              <w:jc w:val="center"/>
              <w:rPr>
                <w:rFonts w:eastAsia="Calibri" w:cs="Arial"/>
              </w:rPr>
            </w:pPr>
          </w:p>
        </w:tc>
      </w:tr>
      <w:tr w:rsidR="003C3859" w:rsidRPr="006076DE" w14:paraId="1FE797CD" w14:textId="77777777" w:rsidTr="007C12E7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622" w14:textId="77777777" w:rsidR="003C3859" w:rsidRPr="006076DE" w:rsidRDefault="003C3859" w:rsidP="007C12E7">
            <w:pPr>
              <w:keepLines/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</w:rPr>
              <w:t>Время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ответа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специалиста</w:t>
            </w:r>
            <w:proofErr w:type="spellEnd"/>
            <w:r w:rsidRPr="006076DE">
              <w:rPr>
                <w:rFonts w:cs="Arial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FE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1 </w:t>
            </w:r>
            <w:proofErr w:type="spellStart"/>
            <w:r w:rsidRPr="006076DE">
              <w:rPr>
                <w:rFonts w:cs="Arial"/>
              </w:rPr>
              <w:t>рабочий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B8B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2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часа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219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6 </w:t>
            </w:r>
            <w:proofErr w:type="spellStart"/>
            <w:r w:rsidRPr="006076DE">
              <w:rPr>
                <w:rFonts w:cs="Arial"/>
              </w:rPr>
              <w:t>часов</w:t>
            </w:r>
            <w:proofErr w:type="spellEnd"/>
          </w:p>
          <w:p w14:paraId="3003E150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</w:p>
        </w:tc>
      </w:tr>
      <w:tr w:rsidR="003C3859" w:rsidRPr="006076DE" w14:paraId="5CD631D6" w14:textId="77777777" w:rsidTr="007C12E7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FDE" w14:textId="77777777" w:rsidR="003C3859" w:rsidRPr="006076DE" w:rsidRDefault="003C3859" w:rsidP="007C12E7">
            <w:pPr>
              <w:keepLines/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</w:rPr>
              <w:t>Время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диагностики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A90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4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1A8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6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часов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E7A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12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часов</w:t>
            </w:r>
            <w:proofErr w:type="spellEnd"/>
          </w:p>
          <w:p w14:paraId="5A251CFE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</w:p>
        </w:tc>
      </w:tr>
      <w:tr w:rsidR="003C3859" w:rsidRPr="006076DE" w14:paraId="2BC17A3A" w14:textId="77777777" w:rsidTr="007C12E7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85C" w14:textId="77777777" w:rsidR="003C3859" w:rsidRPr="003C3859" w:rsidRDefault="003C3859" w:rsidP="007C12E7">
            <w:pPr>
              <w:keepNext/>
              <w:keepLines/>
              <w:spacing w:line="276" w:lineRule="auto"/>
              <w:rPr>
                <w:rFonts w:eastAsia="Calibri" w:cs="Arial"/>
                <w:lang w:val="ru-RU"/>
              </w:rPr>
            </w:pPr>
            <w:r w:rsidRPr="003C3859">
              <w:rPr>
                <w:rFonts w:cs="Arial"/>
                <w:lang w:val="ru-RU"/>
              </w:rPr>
              <w:t>Время предоставления временного решения (в случае его возможности)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E30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8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часов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31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2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дня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DE7" w14:textId="210AF9F8" w:rsidR="003C3859" w:rsidRPr="006076DE" w:rsidRDefault="008145F6" w:rsidP="008145F6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>
              <w:rPr>
                <w:rFonts w:cs="Arial"/>
                <w:lang w:val="ru-RU"/>
              </w:rPr>
              <w:t>4 рабочих дня</w:t>
            </w:r>
          </w:p>
          <w:p w14:paraId="104E6D3D" w14:textId="77777777" w:rsidR="003C3859" w:rsidRPr="006076DE" w:rsidRDefault="003C3859" w:rsidP="007C12E7">
            <w:pPr>
              <w:keepLines/>
              <w:spacing w:line="276" w:lineRule="auto"/>
              <w:ind w:firstLine="709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> </w:t>
            </w:r>
          </w:p>
        </w:tc>
      </w:tr>
      <w:tr w:rsidR="003C3859" w:rsidRPr="006076DE" w14:paraId="104D6BCF" w14:textId="77777777" w:rsidTr="007C12E7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E55" w14:textId="77777777" w:rsidR="003C3859" w:rsidRPr="006076DE" w:rsidRDefault="003C3859" w:rsidP="007C12E7">
            <w:pPr>
              <w:keepLines/>
              <w:spacing w:line="276" w:lineRule="auto"/>
              <w:rPr>
                <w:rFonts w:eastAsia="Calibri" w:cs="Arial"/>
              </w:rPr>
            </w:pPr>
            <w:proofErr w:type="spellStart"/>
            <w:r w:rsidRPr="006076DE">
              <w:rPr>
                <w:rFonts w:cs="Arial"/>
              </w:rPr>
              <w:t>Время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предоставления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постоянного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решения</w:t>
            </w:r>
            <w:proofErr w:type="spellEnd"/>
            <w:r w:rsidRPr="006076DE">
              <w:rPr>
                <w:rFonts w:cs="Arial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5DC" w14:textId="42F5608F" w:rsidR="003C3859" w:rsidRPr="006076DE" w:rsidRDefault="008145F6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8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часов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0BC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5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дней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801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  <w:r w:rsidRPr="006076DE">
              <w:rPr>
                <w:rFonts w:cs="Arial"/>
              </w:rPr>
              <w:t xml:space="preserve">10 </w:t>
            </w:r>
            <w:proofErr w:type="spellStart"/>
            <w:r w:rsidRPr="006076DE">
              <w:rPr>
                <w:rFonts w:cs="Arial"/>
              </w:rPr>
              <w:t>рабочих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дней</w:t>
            </w:r>
            <w:proofErr w:type="spellEnd"/>
          </w:p>
          <w:p w14:paraId="13146402" w14:textId="77777777" w:rsidR="003C3859" w:rsidRPr="006076DE" w:rsidRDefault="003C3859" w:rsidP="007C12E7">
            <w:pPr>
              <w:keepLines/>
              <w:spacing w:line="276" w:lineRule="auto"/>
              <w:jc w:val="center"/>
              <w:rPr>
                <w:rFonts w:eastAsia="Calibri" w:cs="Arial"/>
              </w:rPr>
            </w:pPr>
          </w:p>
        </w:tc>
      </w:tr>
    </w:tbl>
    <w:p w14:paraId="052D97D4" w14:textId="77777777" w:rsidR="003C3859" w:rsidRPr="006076DE" w:rsidRDefault="003C3859" w:rsidP="003C3859">
      <w:pPr>
        <w:pStyle w:val="BodyText"/>
        <w:spacing w:line="276" w:lineRule="auto"/>
        <w:rPr>
          <w:rFonts w:cs="Arial"/>
          <w:bCs/>
          <w:iCs/>
          <w:sz w:val="22"/>
          <w:szCs w:val="22"/>
          <w:lang w:val="en-US" w:eastAsia="x-none"/>
        </w:rPr>
      </w:pPr>
    </w:p>
    <w:p w14:paraId="395CB1B8" w14:textId="77777777" w:rsidR="003C3859" w:rsidRPr="006076DE" w:rsidRDefault="003C3859" w:rsidP="003C3859">
      <w:pPr>
        <w:pStyle w:val="BodyText"/>
        <w:spacing w:line="276" w:lineRule="auto"/>
        <w:rPr>
          <w:rFonts w:cs="Arial"/>
          <w:sz w:val="22"/>
          <w:szCs w:val="22"/>
          <w:lang w:val="en-US" w:eastAsia="x-none"/>
        </w:rPr>
      </w:pPr>
    </w:p>
    <w:p w14:paraId="341ABC3B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before="120" w:line="276" w:lineRule="auto"/>
        <w:ind w:left="578" w:hanging="578"/>
        <w:jc w:val="both"/>
        <w:rPr>
          <w:b w:val="0"/>
          <w:i/>
        </w:rPr>
      </w:pPr>
      <w:r w:rsidRPr="006076DE">
        <w:rPr>
          <w:b w:val="0"/>
        </w:rPr>
        <w:t>Для обеспечения возможности оказания услуг Технической поддержки Заказчик предоставляет Исполнителю удаленный доступ к обслуживаемому ПО.</w:t>
      </w:r>
    </w:p>
    <w:p w14:paraId="00B3FBDA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  <w:i/>
        </w:rPr>
      </w:pPr>
      <w:r w:rsidRPr="006076DE">
        <w:rPr>
          <w:b w:val="0"/>
        </w:rPr>
        <w:t>В случае, если удаленный доступ обеспечен Заказчиком, отсчет времени начинается с момента доставки Исполнителю Заявки от Заказчика. Если удаленный доступ невозможен по техническим или организационным причинам, то отсчет времени начинается с момента прибытия специалиста Исполнителя на объект Заказчика. Решение о выезде на объект принимается по взаимному соглашению Сторон.</w:t>
      </w:r>
    </w:p>
    <w:p w14:paraId="13D19A90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  <w:i/>
        </w:rPr>
      </w:pPr>
      <w:r w:rsidRPr="006076DE">
        <w:rPr>
          <w:b w:val="0"/>
        </w:rPr>
        <w:t>Отсчет времени диагностики начинается по истечении времени, отведенного на ответ специалиста.</w:t>
      </w:r>
    </w:p>
    <w:p w14:paraId="6B233AE9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  <w:i/>
        </w:rPr>
      </w:pPr>
      <w:r w:rsidRPr="006076DE">
        <w:rPr>
          <w:b w:val="0"/>
        </w:rPr>
        <w:t>Отсчет времени предоставления временного решения начинается после окончания диагностики.</w:t>
      </w:r>
    </w:p>
    <w:p w14:paraId="4197F59E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  <w:i/>
        </w:rPr>
      </w:pPr>
      <w:r w:rsidRPr="006076DE">
        <w:rPr>
          <w:b w:val="0"/>
        </w:rPr>
        <w:t>В случае, если временное решение не может быть предоставлено, отсчет времени предоставления постоянного решения начинается после окончания диагностики.</w:t>
      </w:r>
    </w:p>
    <w:p w14:paraId="7DB67F18" w14:textId="77777777" w:rsidR="003C3859" w:rsidRPr="006076DE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  <w:i/>
        </w:rPr>
      </w:pPr>
      <w:r w:rsidRPr="006076DE">
        <w:rPr>
          <w:b w:val="0"/>
        </w:rPr>
        <w:t>Отсчет времени предоставления постоянного решения начинается после окончания времени, отведенного на предоставление временного решения.</w:t>
      </w:r>
    </w:p>
    <w:p w14:paraId="5D36AD9C" w14:textId="3806CD30" w:rsidR="003C3859" w:rsidRDefault="003C3859" w:rsidP="003C3859">
      <w:pPr>
        <w:pStyle w:val="Heading2"/>
        <w:keepNext w:val="0"/>
        <w:keepLines w:val="0"/>
        <w:numPr>
          <w:ilvl w:val="1"/>
          <w:numId w:val="38"/>
        </w:numPr>
        <w:suppressAutoHyphens w:val="0"/>
        <w:spacing w:line="276" w:lineRule="auto"/>
        <w:jc w:val="both"/>
        <w:rPr>
          <w:b w:val="0"/>
        </w:rPr>
      </w:pPr>
      <w:r w:rsidRPr="006076DE">
        <w:rPr>
          <w:b w:val="0"/>
        </w:rPr>
        <w:lastRenderedPageBreak/>
        <w:t>В случае, если ведется разработка новой версии элементов ПО, может быть наложен мораторий на изменения в соответствующих элементах. В этом случае поставка исправлений ведется по графику поставок ПО, а согласованное время учитывается при оценке уровня сервиса.</w:t>
      </w:r>
    </w:p>
    <w:p w14:paraId="77FA8EC3" w14:textId="77777777" w:rsidR="008145F6" w:rsidRPr="008145F6" w:rsidRDefault="008145F6" w:rsidP="008145F6">
      <w:pPr>
        <w:rPr>
          <w:lang w:val="ru-RU"/>
        </w:rPr>
      </w:pPr>
    </w:p>
    <w:p w14:paraId="04D6584F" w14:textId="77777777" w:rsidR="003C3859" w:rsidRPr="006076DE" w:rsidRDefault="003C3859" w:rsidP="003C3859">
      <w:pPr>
        <w:pStyle w:val="Heading2"/>
        <w:numPr>
          <w:ilvl w:val="1"/>
          <w:numId w:val="0"/>
        </w:numPr>
        <w:tabs>
          <w:tab w:val="num" w:pos="360"/>
          <w:tab w:val="num" w:pos="1080"/>
          <w:tab w:val="num" w:pos="1458"/>
        </w:tabs>
        <w:spacing w:after="240" w:line="276" w:lineRule="auto"/>
        <w:ind w:left="788" w:hanging="431"/>
        <w:jc w:val="both"/>
        <w:rPr>
          <w:i/>
          <w:lang w:eastAsia="ru-RU"/>
        </w:rPr>
      </w:pPr>
      <w:bookmarkStart w:id="11" w:name="_Toc385171733"/>
      <w:r w:rsidRPr="006076DE">
        <w:rPr>
          <w:lang w:eastAsia="ru-RU"/>
        </w:rPr>
        <w:t>Подготовка к началу оказания услуг Технической поддержки</w:t>
      </w:r>
      <w:bookmarkEnd w:id="11"/>
    </w:p>
    <w:p w14:paraId="2E06877F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jc w:val="both"/>
        <w:rPr>
          <w:sz w:val="22"/>
          <w:szCs w:val="22"/>
          <w:lang w:val="ru-RU"/>
        </w:rPr>
      </w:pPr>
      <w:bookmarkStart w:id="12" w:name="_Toc385171734"/>
      <w:r w:rsidRPr="003C3859">
        <w:rPr>
          <w:sz w:val="22"/>
          <w:szCs w:val="22"/>
          <w:lang w:val="ru-RU"/>
        </w:rPr>
        <w:t>Определение целевых показателей функционирования предмета технической поддержки</w:t>
      </w:r>
      <w:bookmarkEnd w:id="12"/>
    </w:p>
    <w:p w14:paraId="4B88E0D6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Показатели функционирования характеризуют функционирование предмета технической поддержки с точки зрения качества сервисов, предоставляемых им для пользователей информационных систем.</w:t>
      </w:r>
    </w:p>
    <w:p w14:paraId="5D265971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Целевые значения показателей функционирования должны быть определены до начала оказания услуг Технической поддержки и охватывать следующие группы требований:</w:t>
      </w:r>
    </w:p>
    <w:p w14:paraId="23422CE1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Требования к уровню доступности;</w:t>
      </w:r>
    </w:p>
    <w:p w14:paraId="3CC06BA3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Требования к производительности;</w:t>
      </w:r>
    </w:p>
    <w:p w14:paraId="3CEE1306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Требования к объемам хранения данных;</w:t>
      </w:r>
    </w:p>
    <w:p w14:paraId="145C999C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Требования к количеству пользователей;</w:t>
      </w:r>
    </w:p>
    <w:p w14:paraId="3F7DB3A3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Требования к информационной безопасности.</w:t>
      </w:r>
    </w:p>
    <w:p w14:paraId="5461565F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В процессе оказания услуг Технической поддержки Исполнитель должен обеспечить максимальное достижение целевых показателей функционирования в рамках тех ограничений, которые накладывает предоставленная Заказчиком среда функционирования предмета Технической поддержки.</w:t>
      </w:r>
    </w:p>
    <w:p w14:paraId="353B5267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jc w:val="both"/>
        <w:rPr>
          <w:sz w:val="22"/>
          <w:szCs w:val="22"/>
          <w:lang w:val="ru-RU"/>
        </w:rPr>
      </w:pPr>
      <w:bookmarkStart w:id="13" w:name="_Toc385171735"/>
      <w:r w:rsidRPr="003C3859">
        <w:rPr>
          <w:sz w:val="22"/>
          <w:szCs w:val="22"/>
          <w:lang w:val="ru-RU"/>
        </w:rPr>
        <w:t>Установление каналов взаимодействия по Технической поддержке</w:t>
      </w:r>
      <w:bookmarkEnd w:id="13"/>
    </w:p>
    <w:p w14:paraId="3FD515BB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До начала оказания услуг Технической поддержки должны быть:</w:t>
      </w:r>
    </w:p>
    <w:p w14:paraId="6CAF7861" w14:textId="51074D1D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</w:t>
      </w:r>
      <w:r w:rsidR="008145F6">
        <w:rPr>
          <w:rFonts w:cs="Arial"/>
          <w:sz w:val="22"/>
          <w:szCs w:val="22"/>
        </w:rPr>
        <w:t>значено авторизованное лицо от А</w:t>
      </w:r>
      <w:r w:rsidRPr="006076DE">
        <w:rPr>
          <w:rFonts w:cs="Arial"/>
          <w:sz w:val="22"/>
          <w:szCs w:val="22"/>
        </w:rPr>
        <w:t>ГР, представляющее сторону Заказчика в официальном взаимодействии по технической поддержке, и Исполнителю переданы контактные данные этого лица;</w:t>
      </w:r>
    </w:p>
    <w:p w14:paraId="22AA0C17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Назначено авторизованное лицо от Исполнителя, представляющее сторону Исполнителя в официальном взаимодействии по технической поддержке, и ФГР переданы контактные данные этого лица;</w:t>
      </w:r>
    </w:p>
    <w:p w14:paraId="709E82BA" w14:textId="7797283B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Исполнителю передана контакт</w:t>
      </w:r>
      <w:r w:rsidR="008145F6">
        <w:rPr>
          <w:rFonts w:cs="Arial"/>
          <w:sz w:val="22"/>
          <w:szCs w:val="22"/>
        </w:rPr>
        <w:t>ная информация администраторов А</w:t>
      </w:r>
      <w:r w:rsidRPr="006076DE">
        <w:rPr>
          <w:rFonts w:cs="Arial"/>
          <w:sz w:val="22"/>
          <w:szCs w:val="22"/>
        </w:rPr>
        <w:t>ГР, ответственных за функционирование среды функционирования предмета технической поддержки;</w:t>
      </w:r>
    </w:p>
    <w:p w14:paraId="0C0A1881" w14:textId="77777777" w:rsidR="003C3859" w:rsidRPr="006076DE" w:rsidRDefault="003C3859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lastRenderedPageBreak/>
        <w:t>Исполнителю предоставлен удаленный доступ к предмету технической поддержки;</w:t>
      </w:r>
    </w:p>
    <w:p w14:paraId="7A5AB4F2" w14:textId="662D5A94" w:rsidR="003C3859" w:rsidRPr="006076DE" w:rsidRDefault="008145F6" w:rsidP="003C3859">
      <w:pPr>
        <w:pStyle w:val="BodyTextIndent"/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Определены и предоставлены А</w:t>
      </w:r>
      <w:r w:rsidR="003C3859" w:rsidRPr="006076DE">
        <w:rPr>
          <w:rFonts w:cs="Arial"/>
          <w:sz w:val="22"/>
          <w:szCs w:val="22"/>
        </w:rPr>
        <w:t>ГР контактные телефоны и адреса электронной почты, по которым пользователи Заказчика могут направлять Запросы на обслуживание в рамках Технической поддержки.</w:t>
      </w:r>
    </w:p>
    <w:p w14:paraId="04DCAEF0" w14:textId="77777777" w:rsidR="003C3859" w:rsidRPr="006076DE" w:rsidRDefault="003C3859" w:rsidP="003C3859">
      <w:pPr>
        <w:pStyle w:val="Heading2"/>
        <w:numPr>
          <w:ilvl w:val="1"/>
          <w:numId w:val="0"/>
        </w:numPr>
        <w:tabs>
          <w:tab w:val="num" w:pos="360"/>
          <w:tab w:val="num" w:pos="1080"/>
          <w:tab w:val="num" w:pos="1458"/>
        </w:tabs>
        <w:spacing w:after="240" w:line="276" w:lineRule="auto"/>
        <w:ind w:left="788" w:hanging="431"/>
        <w:jc w:val="both"/>
        <w:rPr>
          <w:i/>
          <w:lang w:eastAsia="ru-RU"/>
        </w:rPr>
      </w:pPr>
      <w:bookmarkStart w:id="14" w:name="_Toc385171736"/>
      <w:r w:rsidRPr="006076DE">
        <w:rPr>
          <w:lang w:eastAsia="ru-RU"/>
        </w:rPr>
        <w:t>Отчетность Исполнителя по технической поддержк</w:t>
      </w:r>
      <w:bookmarkEnd w:id="14"/>
      <w:r w:rsidRPr="006076DE">
        <w:rPr>
          <w:lang w:eastAsia="ru-RU"/>
        </w:rPr>
        <w:t>е</w:t>
      </w:r>
    </w:p>
    <w:p w14:paraId="212FECF4" w14:textId="77777777" w:rsidR="003C3859" w:rsidRPr="003C3859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jc w:val="both"/>
        <w:rPr>
          <w:sz w:val="22"/>
          <w:szCs w:val="22"/>
          <w:lang w:val="ru-RU"/>
        </w:rPr>
      </w:pPr>
      <w:bookmarkStart w:id="15" w:name="_Toc385171737"/>
      <w:r w:rsidRPr="003C3859">
        <w:rPr>
          <w:sz w:val="22"/>
          <w:szCs w:val="22"/>
          <w:lang w:val="ru-RU"/>
        </w:rPr>
        <w:t>Отчет об оказанных услугах</w:t>
      </w:r>
      <w:bookmarkEnd w:id="15"/>
    </w:p>
    <w:p w14:paraId="46A21638" w14:textId="7CF59286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По результатам работы з</w:t>
      </w:r>
      <w:r w:rsidR="008145F6">
        <w:rPr>
          <w:rFonts w:cs="Arial"/>
          <w:sz w:val="22"/>
          <w:szCs w:val="22"/>
        </w:rPr>
        <w:t>а месяц Исполнитель направляет А</w:t>
      </w:r>
      <w:r w:rsidRPr="006076DE">
        <w:rPr>
          <w:rFonts w:cs="Arial"/>
          <w:sz w:val="22"/>
          <w:szCs w:val="22"/>
        </w:rPr>
        <w:t>ГР Отчет по оказанным услугам Технической поддержки, содержащий все зарегистрированные Запросы на обслуживание, поступившие от Заказчика. Отчет об оказанных услугах является основанием для подписания акта оказанных услуг и оплаты.</w:t>
      </w:r>
    </w:p>
    <w:p w14:paraId="533B4A6B" w14:textId="4B62EA74" w:rsidR="003C3859" w:rsidRPr="006076DE" w:rsidRDefault="008145F6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случае неполучения от А</w:t>
      </w:r>
      <w:r w:rsidR="003C3859" w:rsidRPr="006076DE">
        <w:rPr>
          <w:rFonts w:cs="Arial"/>
          <w:sz w:val="22"/>
          <w:szCs w:val="22"/>
        </w:rPr>
        <w:t>ГР мотивированного отказа – указанные в Отчете данные по трудозатратам считаются согласованными.</w:t>
      </w:r>
    </w:p>
    <w:p w14:paraId="24A2D02D" w14:textId="6C0E3EF0" w:rsidR="003C3859" w:rsidRPr="006076DE" w:rsidRDefault="003C3859" w:rsidP="008145F6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 xml:space="preserve">Оплата за оказание Исполнителем услуг по технической поддержки осуществляется поквартально на основании согласованных помесячных отчётов. Оплата осуществляется  в течение 30 банковских дней </w:t>
      </w:r>
      <w:r w:rsidR="008145F6">
        <w:rPr>
          <w:rFonts w:cs="Arial"/>
          <w:sz w:val="22"/>
          <w:szCs w:val="22"/>
        </w:rPr>
        <w:t>с даты направления в ООО «АГР</w:t>
      </w:r>
      <w:r w:rsidRPr="006076DE">
        <w:rPr>
          <w:rFonts w:cs="Arial"/>
          <w:sz w:val="22"/>
          <w:szCs w:val="22"/>
        </w:rPr>
        <w:t>» последнего из следующих закрывающих документов, подписанных со стороны Исполнителя: оригиналов счета, счета-фактуры, оформленного в соответствии с п. п. 5 и 6 ст. 169 Налогового кодекса РФ, акта выполненных работ в двух экземплярах.</w:t>
      </w:r>
    </w:p>
    <w:p w14:paraId="15191801" w14:textId="77777777" w:rsidR="003C3859" w:rsidRPr="003763E2" w:rsidRDefault="003C3859" w:rsidP="003C3859">
      <w:pPr>
        <w:pStyle w:val="Heading3"/>
        <w:numPr>
          <w:ilvl w:val="2"/>
          <w:numId w:val="0"/>
        </w:numPr>
        <w:tabs>
          <w:tab w:val="left" w:pos="1440"/>
          <w:tab w:val="num" w:pos="1588"/>
        </w:tabs>
        <w:suppressAutoHyphens/>
        <w:spacing w:after="240" w:line="276" w:lineRule="auto"/>
        <w:ind w:left="1224" w:hanging="504"/>
        <w:jc w:val="both"/>
        <w:rPr>
          <w:sz w:val="22"/>
          <w:szCs w:val="22"/>
          <w:lang w:val="ru-RU"/>
        </w:rPr>
      </w:pPr>
      <w:bookmarkStart w:id="16" w:name="_Toc385171738"/>
      <w:r w:rsidRPr="003763E2">
        <w:rPr>
          <w:sz w:val="22"/>
          <w:szCs w:val="22"/>
          <w:lang w:val="ru-RU"/>
        </w:rPr>
        <w:t>Журнал Технической поддержки</w:t>
      </w:r>
      <w:bookmarkEnd w:id="16"/>
    </w:p>
    <w:p w14:paraId="7EBAA70A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Журнал Технической поддержки являются рабочим документ, отражающим историю и текущий статус обработки всех поступивших Запросов на обслуживание. Журнал Технической поддержки поддерживается Исполнителем в актуальном состоянии на любой момент времени и должен быть предоставлен Заказчику по требованию.</w:t>
      </w:r>
    </w:p>
    <w:p w14:paraId="59A7322D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sz w:val="22"/>
          <w:szCs w:val="22"/>
        </w:rPr>
        <w:t>Журнал Технической поддержки имеет следующий формат:</w:t>
      </w:r>
    </w:p>
    <w:p w14:paraId="7E3CD8D0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044"/>
        <w:gridCol w:w="893"/>
        <w:gridCol w:w="1276"/>
        <w:gridCol w:w="1018"/>
        <w:gridCol w:w="761"/>
        <w:gridCol w:w="633"/>
        <w:gridCol w:w="889"/>
        <w:gridCol w:w="1631"/>
      </w:tblGrid>
      <w:tr w:rsidR="003C3859" w:rsidRPr="00780260" w14:paraId="35D42815" w14:textId="77777777" w:rsidTr="007C12E7">
        <w:trPr>
          <w:cantSplit/>
          <w:trHeight w:val="3244"/>
        </w:trPr>
        <w:tc>
          <w:tcPr>
            <w:tcW w:w="518" w:type="pct"/>
            <w:shd w:val="clear" w:color="auto" w:fill="auto"/>
            <w:textDirection w:val="btLr"/>
          </w:tcPr>
          <w:p w14:paraId="7F56960D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r w:rsidRPr="006076DE">
              <w:rPr>
                <w:rFonts w:cs="Arial"/>
              </w:rPr>
              <w:t xml:space="preserve">№ п/п </w:t>
            </w:r>
            <w:proofErr w:type="spellStart"/>
            <w:r w:rsidRPr="006076DE">
              <w:rPr>
                <w:rFonts w:cs="Arial"/>
              </w:rPr>
              <w:t>Запроса</w:t>
            </w:r>
            <w:proofErr w:type="spellEnd"/>
            <w:r w:rsidRPr="006076DE">
              <w:rPr>
                <w:rFonts w:cs="Arial"/>
              </w:rPr>
              <w:t xml:space="preserve"> </w:t>
            </w:r>
          </w:p>
        </w:tc>
        <w:tc>
          <w:tcPr>
            <w:tcW w:w="528" w:type="pct"/>
            <w:shd w:val="clear" w:color="auto" w:fill="auto"/>
            <w:textDirection w:val="btLr"/>
          </w:tcPr>
          <w:p w14:paraId="37C75F8B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Дата</w:t>
            </w:r>
            <w:proofErr w:type="spellEnd"/>
            <w:r w:rsidRPr="006076DE">
              <w:rPr>
                <w:rFonts w:cs="Arial"/>
              </w:rPr>
              <w:t xml:space="preserve"> и </w:t>
            </w:r>
            <w:proofErr w:type="spellStart"/>
            <w:r w:rsidRPr="006076DE">
              <w:rPr>
                <w:rFonts w:cs="Arial"/>
              </w:rPr>
              <w:t>время</w:t>
            </w:r>
            <w:proofErr w:type="spellEnd"/>
            <w:r w:rsidRPr="006076DE">
              <w:rPr>
                <w:rFonts w:cs="Arial"/>
              </w:rPr>
              <w:t xml:space="preserve"> </w:t>
            </w:r>
          </w:p>
          <w:p w14:paraId="76A923D8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Запроса</w:t>
            </w:r>
            <w:proofErr w:type="spellEnd"/>
          </w:p>
        </w:tc>
        <w:tc>
          <w:tcPr>
            <w:tcW w:w="498" w:type="pct"/>
            <w:shd w:val="clear" w:color="auto" w:fill="auto"/>
            <w:textDirection w:val="btLr"/>
          </w:tcPr>
          <w:p w14:paraId="51D11931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Автор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Запроса</w:t>
            </w:r>
            <w:proofErr w:type="spellEnd"/>
          </w:p>
        </w:tc>
        <w:tc>
          <w:tcPr>
            <w:tcW w:w="709" w:type="pct"/>
            <w:shd w:val="clear" w:color="auto" w:fill="auto"/>
            <w:textDirection w:val="btLr"/>
          </w:tcPr>
          <w:p w14:paraId="5DC0533A" w14:textId="77777777" w:rsidR="003C3859" w:rsidRPr="003C3859" w:rsidRDefault="003C3859" w:rsidP="007C12E7">
            <w:pPr>
              <w:spacing w:after="120" w:line="276" w:lineRule="auto"/>
              <w:ind w:left="113" w:right="113"/>
              <w:rPr>
                <w:rFonts w:cs="Arial"/>
                <w:lang w:val="ru-RU"/>
              </w:rPr>
            </w:pPr>
            <w:r w:rsidRPr="003C3859">
              <w:rPr>
                <w:rFonts w:cs="Arial"/>
                <w:lang w:val="ru-RU"/>
              </w:rPr>
              <w:t>Тип Запроса (Инцидент, Консультация, Доработка)</w:t>
            </w:r>
          </w:p>
        </w:tc>
        <w:tc>
          <w:tcPr>
            <w:tcW w:w="567" w:type="pct"/>
            <w:shd w:val="clear" w:color="auto" w:fill="auto"/>
            <w:textDirection w:val="btLr"/>
          </w:tcPr>
          <w:p w14:paraId="3645BD86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Уровень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серьезности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Инцидента</w:t>
            </w:r>
            <w:proofErr w:type="spellEnd"/>
          </w:p>
        </w:tc>
        <w:tc>
          <w:tcPr>
            <w:tcW w:w="425" w:type="pct"/>
            <w:shd w:val="clear" w:color="auto" w:fill="auto"/>
            <w:textDirection w:val="btLr"/>
          </w:tcPr>
          <w:p w14:paraId="2C849546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Текущий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статус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Запроса</w:t>
            </w:r>
            <w:proofErr w:type="spellEnd"/>
          </w:p>
        </w:tc>
        <w:tc>
          <w:tcPr>
            <w:tcW w:w="354" w:type="pct"/>
            <w:shd w:val="clear" w:color="auto" w:fill="auto"/>
            <w:textDirection w:val="btLr"/>
          </w:tcPr>
          <w:p w14:paraId="755F5EDD" w14:textId="77777777" w:rsidR="003C3859" w:rsidRPr="003C3859" w:rsidRDefault="003C3859" w:rsidP="007C12E7">
            <w:pPr>
              <w:spacing w:after="120" w:line="276" w:lineRule="auto"/>
              <w:ind w:left="113" w:right="113"/>
              <w:rPr>
                <w:rFonts w:cs="Arial"/>
                <w:lang w:val="ru-RU"/>
              </w:rPr>
            </w:pPr>
            <w:r w:rsidRPr="003C3859">
              <w:rPr>
                <w:rFonts w:cs="Arial"/>
                <w:lang w:val="ru-RU"/>
              </w:rPr>
              <w:t>Дата и время перехода в текущий статус</w:t>
            </w:r>
          </w:p>
        </w:tc>
        <w:tc>
          <w:tcPr>
            <w:tcW w:w="496" w:type="pct"/>
            <w:shd w:val="clear" w:color="auto" w:fill="auto"/>
            <w:textDirection w:val="btLr"/>
          </w:tcPr>
          <w:p w14:paraId="66C74C94" w14:textId="77777777" w:rsidR="003C3859" w:rsidRPr="006076DE" w:rsidRDefault="003C3859" w:rsidP="007C12E7">
            <w:pPr>
              <w:spacing w:after="120" w:line="276" w:lineRule="auto"/>
              <w:ind w:left="113" w:right="113"/>
              <w:rPr>
                <w:rFonts w:cs="Arial"/>
              </w:rPr>
            </w:pPr>
            <w:proofErr w:type="spellStart"/>
            <w:r w:rsidRPr="006076DE">
              <w:rPr>
                <w:rFonts w:cs="Arial"/>
              </w:rPr>
              <w:t>Срок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реализации</w:t>
            </w:r>
            <w:proofErr w:type="spellEnd"/>
            <w:r w:rsidRPr="006076DE">
              <w:rPr>
                <w:rFonts w:cs="Arial"/>
              </w:rPr>
              <w:t xml:space="preserve"> </w:t>
            </w:r>
            <w:proofErr w:type="spellStart"/>
            <w:r w:rsidRPr="006076DE">
              <w:rPr>
                <w:rFonts w:cs="Arial"/>
              </w:rPr>
              <w:t>модификации</w:t>
            </w:r>
            <w:proofErr w:type="spellEnd"/>
            <w:r w:rsidRPr="006076DE">
              <w:rPr>
                <w:rFonts w:cs="Arial"/>
              </w:rPr>
              <w:t xml:space="preserve"> (</w:t>
            </w:r>
            <w:proofErr w:type="spellStart"/>
            <w:r w:rsidRPr="006076DE">
              <w:rPr>
                <w:rFonts w:cs="Arial"/>
              </w:rPr>
              <w:t>доработки</w:t>
            </w:r>
            <w:proofErr w:type="spellEnd"/>
            <w:r w:rsidRPr="006076DE">
              <w:rPr>
                <w:rFonts w:cs="Arial"/>
              </w:rPr>
              <w:t>)</w:t>
            </w:r>
          </w:p>
        </w:tc>
        <w:tc>
          <w:tcPr>
            <w:tcW w:w="904" w:type="pct"/>
            <w:shd w:val="clear" w:color="auto" w:fill="auto"/>
            <w:textDirection w:val="btLr"/>
          </w:tcPr>
          <w:p w14:paraId="06D1B332" w14:textId="77777777" w:rsidR="003C3859" w:rsidRPr="003C3859" w:rsidRDefault="003C3859" w:rsidP="007C12E7">
            <w:pPr>
              <w:spacing w:after="120" w:line="276" w:lineRule="auto"/>
              <w:ind w:left="113" w:right="113"/>
              <w:rPr>
                <w:rFonts w:cs="Arial"/>
                <w:lang w:val="ru-RU"/>
              </w:rPr>
            </w:pPr>
            <w:r w:rsidRPr="003C3859">
              <w:rPr>
                <w:rFonts w:cs="Arial"/>
                <w:lang w:val="ru-RU"/>
              </w:rPr>
              <w:t xml:space="preserve">Подробное описание сути Запроса, предпринятых действий, найденных и исправленных ошибок и другая релевантная  информация. </w:t>
            </w:r>
          </w:p>
        </w:tc>
      </w:tr>
      <w:tr w:rsidR="003C3859" w:rsidRPr="00780260" w14:paraId="5D0289FE" w14:textId="77777777" w:rsidTr="007C12E7">
        <w:tc>
          <w:tcPr>
            <w:tcW w:w="518" w:type="pct"/>
            <w:shd w:val="clear" w:color="auto" w:fill="auto"/>
          </w:tcPr>
          <w:p w14:paraId="271279D5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28" w:type="pct"/>
            <w:shd w:val="clear" w:color="auto" w:fill="auto"/>
          </w:tcPr>
          <w:p w14:paraId="0AD8AFCE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8" w:type="pct"/>
            <w:shd w:val="clear" w:color="auto" w:fill="auto"/>
          </w:tcPr>
          <w:p w14:paraId="35DD39FE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709" w:type="pct"/>
            <w:shd w:val="clear" w:color="auto" w:fill="auto"/>
          </w:tcPr>
          <w:p w14:paraId="03069C0B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67" w:type="pct"/>
            <w:shd w:val="clear" w:color="auto" w:fill="auto"/>
          </w:tcPr>
          <w:p w14:paraId="2F9D1283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25" w:type="pct"/>
            <w:shd w:val="clear" w:color="auto" w:fill="auto"/>
          </w:tcPr>
          <w:p w14:paraId="37DBEE21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354" w:type="pct"/>
            <w:shd w:val="clear" w:color="auto" w:fill="auto"/>
          </w:tcPr>
          <w:p w14:paraId="0B4B3DDC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6" w:type="pct"/>
            <w:shd w:val="clear" w:color="auto" w:fill="auto"/>
          </w:tcPr>
          <w:p w14:paraId="6090DA8A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904" w:type="pct"/>
            <w:shd w:val="clear" w:color="auto" w:fill="auto"/>
          </w:tcPr>
          <w:p w14:paraId="301CD420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</w:tr>
      <w:tr w:rsidR="003C3859" w:rsidRPr="00780260" w14:paraId="69039AEF" w14:textId="77777777" w:rsidTr="007C12E7">
        <w:tc>
          <w:tcPr>
            <w:tcW w:w="518" w:type="pct"/>
            <w:shd w:val="clear" w:color="auto" w:fill="auto"/>
          </w:tcPr>
          <w:p w14:paraId="4574C238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28" w:type="pct"/>
            <w:shd w:val="clear" w:color="auto" w:fill="auto"/>
          </w:tcPr>
          <w:p w14:paraId="2B4BBC3B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8" w:type="pct"/>
            <w:shd w:val="clear" w:color="auto" w:fill="auto"/>
          </w:tcPr>
          <w:p w14:paraId="1380EDC4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709" w:type="pct"/>
            <w:shd w:val="clear" w:color="auto" w:fill="auto"/>
          </w:tcPr>
          <w:p w14:paraId="542E32DF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67" w:type="pct"/>
            <w:shd w:val="clear" w:color="auto" w:fill="auto"/>
          </w:tcPr>
          <w:p w14:paraId="0B627779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25" w:type="pct"/>
            <w:shd w:val="clear" w:color="auto" w:fill="auto"/>
          </w:tcPr>
          <w:p w14:paraId="5B8E03FE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354" w:type="pct"/>
            <w:shd w:val="clear" w:color="auto" w:fill="auto"/>
          </w:tcPr>
          <w:p w14:paraId="723C1976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6" w:type="pct"/>
            <w:shd w:val="clear" w:color="auto" w:fill="auto"/>
          </w:tcPr>
          <w:p w14:paraId="06A9BD2E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904" w:type="pct"/>
            <w:shd w:val="clear" w:color="auto" w:fill="auto"/>
          </w:tcPr>
          <w:p w14:paraId="38CB442F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</w:tr>
      <w:tr w:rsidR="003C3859" w:rsidRPr="00780260" w14:paraId="0CA343B9" w14:textId="77777777" w:rsidTr="007C12E7">
        <w:tc>
          <w:tcPr>
            <w:tcW w:w="518" w:type="pct"/>
            <w:shd w:val="clear" w:color="auto" w:fill="auto"/>
          </w:tcPr>
          <w:p w14:paraId="4A5BB730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28" w:type="pct"/>
            <w:shd w:val="clear" w:color="auto" w:fill="auto"/>
          </w:tcPr>
          <w:p w14:paraId="3B8F89A6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8" w:type="pct"/>
            <w:shd w:val="clear" w:color="auto" w:fill="auto"/>
          </w:tcPr>
          <w:p w14:paraId="0CA07DA6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709" w:type="pct"/>
            <w:shd w:val="clear" w:color="auto" w:fill="auto"/>
          </w:tcPr>
          <w:p w14:paraId="040102B4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567" w:type="pct"/>
            <w:shd w:val="clear" w:color="auto" w:fill="auto"/>
          </w:tcPr>
          <w:p w14:paraId="35D16C1D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25" w:type="pct"/>
            <w:shd w:val="clear" w:color="auto" w:fill="auto"/>
          </w:tcPr>
          <w:p w14:paraId="3E2D5B45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354" w:type="pct"/>
            <w:shd w:val="clear" w:color="auto" w:fill="auto"/>
          </w:tcPr>
          <w:p w14:paraId="6D132B86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496" w:type="pct"/>
            <w:shd w:val="clear" w:color="auto" w:fill="auto"/>
          </w:tcPr>
          <w:p w14:paraId="13799C22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  <w:tc>
          <w:tcPr>
            <w:tcW w:w="904" w:type="pct"/>
            <w:shd w:val="clear" w:color="auto" w:fill="auto"/>
          </w:tcPr>
          <w:p w14:paraId="3B677FEC" w14:textId="77777777" w:rsidR="003C3859" w:rsidRPr="003C3859" w:rsidRDefault="003C3859" w:rsidP="007C12E7">
            <w:pPr>
              <w:spacing w:after="120" w:line="276" w:lineRule="auto"/>
              <w:rPr>
                <w:rFonts w:cs="Arial"/>
                <w:lang w:val="ru-RU"/>
              </w:rPr>
            </w:pPr>
          </w:p>
        </w:tc>
      </w:tr>
    </w:tbl>
    <w:p w14:paraId="6E69D284" w14:textId="77777777" w:rsidR="003C3859" w:rsidRPr="006076DE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6CBE08A3" w14:textId="6D6B73AE" w:rsidR="003C3859" w:rsidRDefault="003C3859" w:rsidP="003C3859">
      <w:pPr>
        <w:pStyle w:val="BodyTextIndent"/>
        <w:spacing w:line="276" w:lineRule="auto"/>
        <w:rPr>
          <w:rFonts w:cs="Arial"/>
          <w:sz w:val="22"/>
          <w:szCs w:val="22"/>
        </w:rPr>
      </w:pPr>
      <w:r w:rsidRPr="006076DE">
        <w:rPr>
          <w:rFonts w:cs="Arial"/>
          <w:b/>
          <w:sz w:val="22"/>
          <w:szCs w:val="22"/>
        </w:rPr>
        <w:t xml:space="preserve">Примечание: </w:t>
      </w:r>
      <w:r w:rsidRPr="006076DE">
        <w:rPr>
          <w:rFonts w:cs="Arial"/>
          <w:sz w:val="22"/>
          <w:szCs w:val="22"/>
        </w:rPr>
        <w:t>при каждом изменении статуса любого не закрытого Запроса на обслуживание, в Журнал технической поддержки добавляется соответствующая запись.</w:t>
      </w:r>
    </w:p>
    <w:p w14:paraId="276B0ECC" w14:textId="16342EB8" w:rsidR="004F0377" w:rsidRPr="003C3859" w:rsidRDefault="00F01030" w:rsidP="00F01030">
      <w:pPr>
        <w:ind w:firstLine="708"/>
        <w:rPr>
          <w:lang w:val="ru-RU"/>
        </w:rPr>
      </w:pPr>
      <w:r w:rsidRPr="00F01030">
        <w:rPr>
          <w:rFonts w:cs="Arial"/>
          <w:kern w:val="0"/>
          <w:lang w:val="ru-RU" w:eastAsia="en-US"/>
        </w:rPr>
        <w:t>Журнал технической поддержки может быть заменён на обработку запросов Исполнителем в системе обработки запросов Заказчика, где отслежива</w:t>
      </w:r>
      <w:r>
        <w:rPr>
          <w:rFonts w:cs="Arial"/>
          <w:kern w:val="0"/>
          <w:lang w:val="ru-RU" w:eastAsia="en-US"/>
        </w:rPr>
        <w:t xml:space="preserve">ются все поступившие </w:t>
      </w:r>
      <w:proofErr w:type="spellStart"/>
      <w:r>
        <w:rPr>
          <w:rFonts w:cs="Arial"/>
          <w:kern w:val="0"/>
          <w:lang w:val="ru-RU" w:eastAsia="en-US"/>
        </w:rPr>
        <w:t>запосы</w:t>
      </w:r>
      <w:proofErr w:type="spellEnd"/>
      <w:r>
        <w:rPr>
          <w:rFonts w:cs="Arial"/>
          <w:kern w:val="0"/>
          <w:lang w:val="ru-RU" w:eastAsia="en-US"/>
        </w:rPr>
        <w:t xml:space="preserve"> и их</w:t>
      </w:r>
      <w:r w:rsidRPr="00F01030">
        <w:rPr>
          <w:rFonts w:cs="Arial"/>
          <w:kern w:val="0"/>
          <w:lang w:val="ru-RU" w:eastAsia="en-US"/>
        </w:rPr>
        <w:t xml:space="preserve"> статусы </w:t>
      </w:r>
      <w:proofErr w:type="spellStart"/>
      <w:r w:rsidRPr="00F01030">
        <w:rPr>
          <w:rFonts w:cs="Arial"/>
          <w:kern w:val="0"/>
          <w:lang w:val="ru-RU" w:eastAsia="en-US"/>
        </w:rPr>
        <w:t>обаботки</w:t>
      </w:r>
      <w:proofErr w:type="spellEnd"/>
      <w:r w:rsidRPr="00F01030">
        <w:rPr>
          <w:rFonts w:cs="Arial"/>
          <w:kern w:val="0"/>
          <w:lang w:val="ru-RU" w:eastAsia="en-US"/>
        </w:rPr>
        <w:t>.</w:t>
      </w:r>
    </w:p>
    <w:sectPr w:rsidR="004F0377" w:rsidRPr="003C3859" w:rsidSect="006C5EA4">
      <w:headerReference w:type="default" r:id="rId8"/>
      <w:footerReference w:type="default" r:id="rId9"/>
      <w:headerReference w:type="first" r:id="rId10"/>
      <w:pgSz w:w="11906" w:h="16838" w:code="9"/>
      <w:pgMar w:top="-2241" w:right="1411" w:bottom="1593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2B3E" w14:textId="77777777" w:rsidR="00001759" w:rsidRDefault="00001759">
      <w:r>
        <w:separator/>
      </w:r>
    </w:p>
  </w:endnote>
  <w:endnote w:type="continuationSeparator" w:id="0">
    <w:p w14:paraId="4790AB06" w14:textId="77777777" w:rsidR="00001759" w:rsidRDefault="000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C178" w14:textId="77777777" w:rsidR="00AE44E9" w:rsidRPr="00F37246" w:rsidRDefault="00AE44E9" w:rsidP="005647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FA11" w14:textId="77777777" w:rsidR="00001759" w:rsidRDefault="00001759">
      <w:r>
        <w:separator/>
      </w:r>
    </w:p>
  </w:footnote>
  <w:footnote w:type="continuationSeparator" w:id="0">
    <w:p w14:paraId="4E18196E" w14:textId="77777777" w:rsidR="00001759" w:rsidRDefault="0000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FE110E" w:rsidRPr="00213A81" w14:paraId="634B020B" w14:textId="77777777" w:rsidTr="00F06F33">
      <w:trPr>
        <w:cantSplit/>
        <w:trHeight w:val="1121"/>
      </w:trPr>
      <w:tc>
        <w:tcPr>
          <w:tcW w:w="6660" w:type="dxa"/>
          <w:vAlign w:val="center"/>
        </w:tcPr>
        <w:p w14:paraId="7D6AD64E" w14:textId="77777777" w:rsidR="00FE110E" w:rsidRPr="00091034" w:rsidRDefault="00FE110E" w:rsidP="00FE110E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TableGrid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FE110E" w:rsidRPr="00091034" w14:paraId="32F0D035" w14:textId="77777777" w:rsidTr="00F06F33">
            <w:trPr>
              <w:jc w:val="right"/>
            </w:trPr>
            <w:tc>
              <w:tcPr>
                <w:tcW w:w="1263" w:type="dxa"/>
              </w:tcPr>
              <w:p w14:paraId="06AC78A8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219D847F" w14:textId="77777777" w:rsidR="00FE110E" w:rsidRPr="00DE591C" w:rsidRDefault="00FE110E" w:rsidP="00FE110E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FE110E" w:rsidRPr="00091034" w14:paraId="4AE9CE76" w14:textId="77777777" w:rsidTr="00F06F33">
            <w:trPr>
              <w:jc w:val="right"/>
            </w:trPr>
            <w:tc>
              <w:tcPr>
                <w:tcW w:w="1263" w:type="dxa"/>
              </w:tcPr>
              <w:p w14:paraId="5B705373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7F3E4694" w14:textId="77777777" w:rsidR="00FE110E" w:rsidRPr="00DE591C" w:rsidRDefault="00FE110E" w:rsidP="00FE110E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</w:t>
                </w: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ИТ___________</w:t>
                </w:r>
              </w:p>
              <w:p w14:paraId="132699DF" w14:textId="77777777" w:rsidR="00FE110E" w:rsidRPr="00DE591C" w:rsidRDefault="00FE110E" w:rsidP="00FE110E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FE110E" w:rsidRPr="00091034" w14:paraId="504F2E09" w14:textId="77777777" w:rsidTr="00F06F33">
            <w:trPr>
              <w:jc w:val="right"/>
            </w:trPr>
            <w:tc>
              <w:tcPr>
                <w:tcW w:w="1263" w:type="dxa"/>
              </w:tcPr>
              <w:p w14:paraId="06A26587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1F1DABA9" w14:textId="77777777" w:rsidR="00FE110E" w:rsidRPr="00DE591C" w:rsidRDefault="00FE110E" w:rsidP="00FE110E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10</w:t>
                </w: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.06.2024____</w:t>
                </w:r>
              </w:p>
            </w:tc>
          </w:tr>
        </w:tbl>
        <w:p w14:paraId="08A5FF97" w14:textId="77777777" w:rsidR="00FE110E" w:rsidRPr="00091034" w:rsidRDefault="00FE110E" w:rsidP="00FE110E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AE44E9" w:rsidRPr="00C8569F" w:rsidRDefault="00AE44E9" w:rsidP="00C85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AE44E9" w:rsidRPr="00213A81" w14:paraId="566335C6" w14:textId="77777777" w:rsidTr="00AE44E9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AE44E9" w:rsidRPr="00213A81" w:rsidRDefault="00AE44E9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AE44E9" w:rsidRPr="00C8569F" w:rsidRDefault="00AE44E9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AE44E9" w:rsidRPr="003C1734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AE44E9" w:rsidRPr="00445C39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AE44E9" w:rsidRPr="00445C39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AE44E9" w:rsidRPr="00C8569F" w:rsidRDefault="00AE44E9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8BC8AC1" w:rsidR="00AE44E9" w:rsidRPr="00C8569F" w:rsidRDefault="00AE44E9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13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AE44E9" w:rsidRPr="006C5EA4" w:rsidRDefault="00AE44E9" w:rsidP="006C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06B06"/>
    <w:multiLevelType w:val="hybridMultilevel"/>
    <w:tmpl w:val="2D486EAA"/>
    <w:lvl w:ilvl="0" w:tplc="C7348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E4609"/>
    <w:multiLevelType w:val="hybridMultilevel"/>
    <w:tmpl w:val="FF74A3FA"/>
    <w:lvl w:ilvl="0" w:tplc="C7348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637141"/>
    <w:multiLevelType w:val="hybridMultilevel"/>
    <w:tmpl w:val="59B27C32"/>
    <w:lvl w:ilvl="0" w:tplc="C7348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376B"/>
    <w:multiLevelType w:val="hybridMultilevel"/>
    <w:tmpl w:val="68480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45258"/>
    <w:multiLevelType w:val="hybridMultilevel"/>
    <w:tmpl w:val="D59C39A8"/>
    <w:lvl w:ilvl="0" w:tplc="E8E2C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01CB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7344"/>
    <w:multiLevelType w:val="multilevel"/>
    <w:tmpl w:val="965811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EAB5780"/>
    <w:multiLevelType w:val="multilevel"/>
    <w:tmpl w:val="5E88E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666960"/>
    <w:multiLevelType w:val="hybridMultilevel"/>
    <w:tmpl w:val="9A5E8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1117F4"/>
    <w:multiLevelType w:val="hybridMultilevel"/>
    <w:tmpl w:val="44D28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3172B8"/>
    <w:multiLevelType w:val="hybridMultilevel"/>
    <w:tmpl w:val="BFD03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AF1B6D"/>
    <w:multiLevelType w:val="hybridMultilevel"/>
    <w:tmpl w:val="C9C627CE"/>
    <w:lvl w:ilvl="0" w:tplc="C7348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2934DA"/>
    <w:multiLevelType w:val="hybridMultilevel"/>
    <w:tmpl w:val="267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37E0C"/>
    <w:multiLevelType w:val="hybridMultilevel"/>
    <w:tmpl w:val="50180612"/>
    <w:lvl w:ilvl="0" w:tplc="6AAE20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49B6"/>
    <w:multiLevelType w:val="hybridMultilevel"/>
    <w:tmpl w:val="EE26AB04"/>
    <w:lvl w:ilvl="0" w:tplc="C7348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CE1AA1"/>
    <w:multiLevelType w:val="hybridMultilevel"/>
    <w:tmpl w:val="92E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0"/>
  </w:num>
  <w:num w:numId="3">
    <w:abstractNumId w:val="43"/>
  </w:num>
  <w:num w:numId="4">
    <w:abstractNumId w:val="19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5"/>
  </w:num>
  <w:num w:numId="10">
    <w:abstractNumId w:val="4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5"/>
  </w:num>
  <w:num w:numId="17">
    <w:abstractNumId w:val="8"/>
  </w:num>
  <w:num w:numId="18">
    <w:abstractNumId w:val="30"/>
  </w:num>
  <w:num w:numId="19">
    <w:abstractNumId w:val="16"/>
  </w:num>
  <w:num w:numId="20">
    <w:abstractNumId w:val="42"/>
  </w:num>
  <w:num w:numId="21">
    <w:abstractNumId w:val="27"/>
  </w:num>
  <w:num w:numId="22">
    <w:abstractNumId w:val="17"/>
  </w:num>
  <w:num w:numId="23">
    <w:abstractNumId w:val="3"/>
  </w:num>
  <w:num w:numId="24">
    <w:abstractNumId w:val="44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36"/>
  </w:num>
  <w:num w:numId="30">
    <w:abstractNumId w:val="3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4"/>
  </w:num>
  <w:num w:numId="34">
    <w:abstractNumId w:val="13"/>
  </w:num>
  <w:num w:numId="35">
    <w:abstractNumId w:val="14"/>
  </w:num>
  <w:num w:numId="36">
    <w:abstractNumId w:val="21"/>
  </w:num>
  <w:num w:numId="37">
    <w:abstractNumId w:val="1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1"/>
  </w:num>
  <w:num w:numId="41">
    <w:abstractNumId w:val="22"/>
  </w:num>
  <w:num w:numId="42">
    <w:abstractNumId w:val="41"/>
  </w:num>
  <w:num w:numId="43">
    <w:abstractNumId w:val="38"/>
  </w:num>
  <w:num w:numId="44">
    <w:abstractNumId w:val="39"/>
  </w:num>
  <w:num w:numId="45">
    <w:abstractNumId w:val="26"/>
  </w:num>
  <w:num w:numId="46">
    <w:abstractNumId w:val="10"/>
  </w:num>
  <w:num w:numId="47">
    <w:abstractNumId w:val="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759"/>
    <w:rsid w:val="00004A94"/>
    <w:rsid w:val="00012812"/>
    <w:rsid w:val="0001506A"/>
    <w:rsid w:val="0001754E"/>
    <w:rsid w:val="0003202E"/>
    <w:rsid w:val="00042879"/>
    <w:rsid w:val="00043D3B"/>
    <w:rsid w:val="00045864"/>
    <w:rsid w:val="0004653A"/>
    <w:rsid w:val="00061303"/>
    <w:rsid w:val="00061A1C"/>
    <w:rsid w:val="00062979"/>
    <w:rsid w:val="00076126"/>
    <w:rsid w:val="000833E5"/>
    <w:rsid w:val="00091865"/>
    <w:rsid w:val="00092120"/>
    <w:rsid w:val="000B5B65"/>
    <w:rsid w:val="000C73A1"/>
    <w:rsid w:val="000F5C73"/>
    <w:rsid w:val="00107AF0"/>
    <w:rsid w:val="00125E8F"/>
    <w:rsid w:val="00130983"/>
    <w:rsid w:val="001520D7"/>
    <w:rsid w:val="00197D8E"/>
    <w:rsid w:val="001A39FD"/>
    <w:rsid w:val="001C1621"/>
    <w:rsid w:val="001C2F2A"/>
    <w:rsid w:val="001E4D41"/>
    <w:rsid w:val="001F4EEA"/>
    <w:rsid w:val="00202A80"/>
    <w:rsid w:val="002039E3"/>
    <w:rsid w:val="00217140"/>
    <w:rsid w:val="00227BD5"/>
    <w:rsid w:val="0024443E"/>
    <w:rsid w:val="002520F7"/>
    <w:rsid w:val="00273260"/>
    <w:rsid w:val="0027390F"/>
    <w:rsid w:val="002801D2"/>
    <w:rsid w:val="00280267"/>
    <w:rsid w:val="002958D3"/>
    <w:rsid w:val="002B7976"/>
    <w:rsid w:val="002C673F"/>
    <w:rsid w:val="002F061A"/>
    <w:rsid w:val="00306A3E"/>
    <w:rsid w:val="00310DF1"/>
    <w:rsid w:val="00314819"/>
    <w:rsid w:val="00361294"/>
    <w:rsid w:val="003664CA"/>
    <w:rsid w:val="003763E2"/>
    <w:rsid w:val="003810B1"/>
    <w:rsid w:val="003812A7"/>
    <w:rsid w:val="00392C0B"/>
    <w:rsid w:val="003C1734"/>
    <w:rsid w:val="003C3859"/>
    <w:rsid w:val="003C60C8"/>
    <w:rsid w:val="003D32A2"/>
    <w:rsid w:val="003E44C4"/>
    <w:rsid w:val="00411D27"/>
    <w:rsid w:val="0041309B"/>
    <w:rsid w:val="00415750"/>
    <w:rsid w:val="00433F7A"/>
    <w:rsid w:val="00442C05"/>
    <w:rsid w:val="00445C39"/>
    <w:rsid w:val="00447E5D"/>
    <w:rsid w:val="00496D0A"/>
    <w:rsid w:val="004A50F3"/>
    <w:rsid w:val="004C05EC"/>
    <w:rsid w:val="004F0377"/>
    <w:rsid w:val="00503F88"/>
    <w:rsid w:val="00505B6A"/>
    <w:rsid w:val="00507D15"/>
    <w:rsid w:val="005152D8"/>
    <w:rsid w:val="005255E6"/>
    <w:rsid w:val="005308C1"/>
    <w:rsid w:val="005435DD"/>
    <w:rsid w:val="0056477D"/>
    <w:rsid w:val="00576313"/>
    <w:rsid w:val="005946BD"/>
    <w:rsid w:val="005B1F36"/>
    <w:rsid w:val="0062041C"/>
    <w:rsid w:val="00631DAE"/>
    <w:rsid w:val="00640DE2"/>
    <w:rsid w:val="006451EE"/>
    <w:rsid w:val="0065566F"/>
    <w:rsid w:val="00655759"/>
    <w:rsid w:val="00655F1B"/>
    <w:rsid w:val="006601EB"/>
    <w:rsid w:val="00663D5F"/>
    <w:rsid w:val="006650DF"/>
    <w:rsid w:val="0066653B"/>
    <w:rsid w:val="006730A3"/>
    <w:rsid w:val="00691CA8"/>
    <w:rsid w:val="006C5EA4"/>
    <w:rsid w:val="006D3852"/>
    <w:rsid w:val="006D46A8"/>
    <w:rsid w:val="00702AAB"/>
    <w:rsid w:val="00702C1E"/>
    <w:rsid w:val="00744284"/>
    <w:rsid w:val="00752FE4"/>
    <w:rsid w:val="00755BE4"/>
    <w:rsid w:val="00780260"/>
    <w:rsid w:val="007B3C35"/>
    <w:rsid w:val="007E23A3"/>
    <w:rsid w:val="007E7DF3"/>
    <w:rsid w:val="00805452"/>
    <w:rsid w:val="008145F6"/>
    <w:rsid w:val="008247E1"/>
    <w:rsid w:val="00834907"/>
    <w:rsid w:val="008604DE"/>
    <w:rsid w:val="008705AA"/>
    <w:rsid w:val="00871D7D"/>
    <w:rsid w:val="00885C96"/>
    <w:rsid w:val="00892171"/>
    <w:rsid w:val="008B0849"/>
    <w:rsid w:val="008C0908"/>
    <w:rsid w:val="008D03EE"/>
    <w:rsid w:val="008E4546"/>
    <w:rsid w:val="008E5CE7"/>
    <w:rsid w:val="008F471A"/>
    <w:rsid w:val="00900D65"/>
    <w:rsid w:val="009013FC"/>
    <w:rsid w:val="009577DA"/>
    <w:rsid w:val="009577F4"/>
    <w:rsid w:val="0097362B"/>
    <w:rsid w:val="00973E69"/>
    <w:rsid w:val="009856F8"/>
    <w:rsid w:val="00994E39"/>
    <w:rsid w:val="009B4A33"/>
    <w:rsid w:val="009C0EAF"/>
    <w:rsid w:val="009C3402"/>
    <w:rsid w:val="009E04EB"/>
    <w:rsid w:val="009E74D5"/>
    <w:rsid w:val="00A24F2E"/>
    <w:rsid w:val="00A25086"/>
    <w:rsid w:val="00A32ADF"/>
    <w:rsid w:val="00A37EE7"/>
    <w:rsid w:val="00A4367A"/>
    <w:rsid w:val="00A569AC"/>
    <w:rsid w:val="00A6788D"/>
    <w:rsid w:val="00A740DD"/>
    <w:rsid w:val="00A74ED1"/>
    <w:rsid w:val="00A931AF"/>
    <w:rsid w:val="00AC0F4C"/>
    <w:rsid w:val="00AC4BEB"/>
    <w:rsid w:val="00AD2655"/>
    <w:rsid w:val="00AE44E9"/>
    <w:rsid w:val="00AF00ED"/>
    <w:rsid w:val="00B001AB"/>
    <w:rsid w:val="00B16958"/>
    <w:rsid w:val="00B2495A"/>
    <w:rsid w:val="00B47915"/>
    <w:rsid w:val="00B86F4C"/>
    <w:rsid w:val="00B929D1"/>
    <w:rsid w:val="00BA6A6C"/>
    <w:rsid w:val="00BB584E"/>
    <w:rsid w:val="00BC460B"/>
    <w:rsid w:val="00BC5BF9"/>
    <w:rsid w:val="00BD2F2E"/>
    <w:rsid w:val="00BE15F1"/>
    <w:rsid w:val="00BF3A5D"/>
    <w:rsid w:val="00C13536"/>
    <w:rsid w:val="00C1483D"/>
    <w:rsid w:val="00C16D67"/>
    <w:rsid w:val="00C16D79"/>
    <w:rsid w:val="00C212D8"/>
    <w:rsid w:val="00C22B83"/>
    <w:rsid w:val="00C317C5"/>
    <w:rsid w:val="00C34211"/>
    <w:rsid w:val="00C82515"/>
    <w:rsid w:val="00C8569F"/>
    <w:rsid w:val="00C85EC5"/>
    <w:rsid w:val="00C9445E"/>
    <w:rsid w:val="00C977DD"/>
    <w:rsid w:val="00CA290E"/>
    <w:rsid w:val="00CA32CC"/>
    <w:rsid w:val="00CB0761"/>
    <w:rsid w:val="00CD28EE"/>
    <w:rsid w:val="00CD3076"/>
    <w:rsid w:val="00CF03F3"/>
    <w:rsid w:val="00CF5424"/>
    <w:rsid w:val="00D17998"/>
    <w:rsid w:val="00D36DDB"/>
    <w:rsid w:val="00D411EC"/>
    <w:rsid w:val="00D5655E"/>
    <w:rsid w:val="00D57A88"/>
    <w:rsid w:val="00D74603"/>
    <w:rsid w:val="00D87E5E"/>
    <w:rsid w:val="00DA21E7"/>
    <w:rsid w:val="00DA3045"/>
    <w:rsid w:val="00DA4E19"/>
    <w:rsid w:val="00DD0FA7"/>
    <w:rsid w:val="00E25A1B"/>
    <w:rsid w:val="00E261A6"/>
    <w:rsid w:val="00E32887"/>
    <w:rsid w:val="00E34F4E"/>
    <w:rsid w:val="00E41DD4"/>
    <w:rsid w:val="00E70C33"/>
    <w:rsid w:val="00E724C5"/>
    <w:rsid w:val="00E91A1C"/>
    <w:rsid w:val="00E92197"/>
    <w:rsid w:val="00E95913"/>
    <w:rsid w:val="00EB5C10"/>
    <w:rsid w:val="00EC2980"/>
    <w:rsid w:val="00EC598B"/>
    <w:rsid w:val="00EC5BA8"/>
    <w:rsid w:val="00ED0CFE"/>
    <w:rsid w:val="00ED0F04"/>
    <w:rsid w:val="00ED160B"/>
    <w:rsid w:val="00ED1903"/>
    <w:rsid w:val="00ED48F2"/>
    <w:rsid w:val="00EF07A6"/>
    <w:rsid w:val="00F01030"/>
    <w:rsid w:val="00F013C4"/>
    <w:rsid w:val="00F05E83"/>
    <w:rsid w:val="00F21899"/>
    <w:rsid w:val="00F244E2"/>
    <w:rsid w:val="00F30362"/>
    <w:rsid w:val="00F37246"/>
    <w:rsid w:val="00F71D77"/>
    <w:rsid w:val="00FA70E0"/>
    <w:rsid w:val="00FB7FA3"/>
    <w:rsid w:val="00FC461D"/>
    <w:rsid w:val="00FC68FF"/>
    <w:rsid w:val="00FC78B5"/>
    <w:rsid w:val="00FD6147"/>
    <w:rsid w:val="00FE110E"/>
    <w:rsid w:val="00FE311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A60AAF"/>
  <w15:docId w15:val="{CC9FCF87-8988-41AA-B5A2-2C01A37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Heading1">
    <w:name w:val="heading 1"/>
    <w:basedOn w:val="Normal"/>
    <w:next w:val="Normal"/>
    <w:qFormat/>
    <w:rsid w:val="00C16D67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Normal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Normal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Normal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Normal"/>
    <w:qFormat/>
    <w:rsid w:val="00F37246"/>
    <w:pPr>
      <w:spacing w:after="0"/>
    </w:pPr>
  </w:style>
  <w:style w:type="paragraph" w:customStyle="1" w:styleId="Datum">
    <w:name w:val="_Datum"/>
    <w:basedOn w:val="Normal"/>
    <w:qFormat/>
    <w:rsid w:val="00F37246"/>
    <w:pPr>
      <w:spacing w:after="0"/>
    </w:pPr>
  </w:style>
  <w:style w:type="character" w:styleId="PageNumber">
    <w:name w:val="page number"/>
    <w:basedOn w:val="DefaultParagraphFont"/>
    <w:semiHidden/>
    <w:rsid w:val="00B47915"/>
  </w:style>
  <w:style w:type="paragraph" w:styleId="BalloonText">
    <w:name w:val="Balloon Text"/>
    <w:basedOn w:val="Normal"/>
    <w:link w:val="BalloonTextChar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Normal"/>
    <w:next w:val="Normal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TableNormal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DefaultParagraphFont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TableNormal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74ED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6556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566F"/>
    <w:rPr>
      <w:color w:val="004666" w:themeColor="hyperlink"/>
      <w:u w:val="single"/>
    </w:rPr>
  </w:style>
  <w:style w:type="character" w:styleId="CommentReference">
    <w:name w:val="annotation reference"/>
    <w:basedOn w:val="DefaultParagraphFont"/>
    <w:unhideWhenUsed/>
    <w:rsid w:val="001520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0D7"/>
    <w:rPr>
      <w:rFonts w:ascii="Arial" w:hAnsi="Arial"/>
      <w:kern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0D7"/>
    <w:rPr>
      <w:rFonts w:ascii="Arial" w:hAnsi="Arial"/>
      <w:b/>
      <w:bCs/>
      <w:kern w:val="10"/>
    </w:rPr>
  </w:style>
  <w:style w:type="character" w:customStyle="1" w:styleId="ListParagraphChar">
    <w:name w:val="List Paragraph Char"/>
    <w:link w:val="ListParagraph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Revision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25086"/>
    <w:rPr>
      <w:color w:val="808080"/>
    </w:rPr>
  </w:style>
  <w:style w:type="paragraph" w:customStyle="1" w:styleId="3">
    <w:name w:val="3"/>
    <w:basedOn w:val="Normal"/>
    <w:link w:val="30"/>
    <w:qFormat/>
    <w:rsid w:val="00AE44E9"/>
    <w:pPr>
      <w:tabs>
        <w:tab w:val="left" w:pos="567"/>
      </w:tabs>
      <w:spacing w:after="0" w:line="360" w:lineRule="auto"/>
      <w:ind w:left="2422" w:hanging="720"/>
      <w:jc w:val="both"/>
    </w:pPr>
    <w:rPr>
      <w:rFonts w:ascii="Times New Roman" w:hAnsi="Times New Roman"/>
      <w:b/>
      <w:bCs/>
      <w:snapToGrid w:val="0"/>
      <w:kern w:val="0"/>
      <w:sz w:val="28"/>
      <w:szCs w:val="28"/>
      <w:lang w:val="x-none" w:eastAsia="x-none"/>
    </w:rPr>
  </w:style>
  <w:style w:type="character" w:customStyle="1" w:styleId="30">
    <w:name w:val="3 Знак"/>
    <w:link w:val="3"/>
    <w:rsid w:val="00AE44E9"/>
    <w:rPr>
      <w:b/>
      <w:bCs/>
      <w:snapToGrid w:val="0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3C3859"/>
    <w:pPr>
      <w:keepLines/>
      <w:spacing w:after="120" w:line="360" w:lineRule="auto"/>
      <w:ind w:firstLine="720"/>
      <w:jc w:val="both"/>
    </w:pPr>
    <w:rPr>
      <w:kern w:val="0"/>
      <w:sz w:val="20"/>
      <w:szCs w:val="20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rsid w:val="003C3859"/>
    <w:rPr>
      <w:rFonts w:ascii="Arial" w:hAnsi="Arial"/>
      <w:lang w:val="ru-RU" w:eastAsia="en-US"/>
    </w:rPr>
  </w:style>
  <w:style w:type="paragraph" w:styleId="BodyText">
    <w:name w:val="Body Text"/>
    <w:basedOn w:val="Normal"/>
    <w:link w:val="BodyTextChar"/>
    <w:rsid w:val="003C3859"/>
    <w:pPr>
      <w:spacing w:after="120" w:line="240" w:lineRule="auto"/>
    </w:pPr>
    <w:rPr>
      <w:kern w:val="0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C3859"/>
    <w:rPr>
      <w:rFonts w:ascii="Arial" w:hAnsi="Arial"/>
      <w:sz w:val="24"/>
      <w:lang w:val="ru-RU" w:eastAsia="ru-RU"/>
    </w:rPr>
  </w:style>
  <w:style w:type="paragraph" w:styleId="Caption">
    <w:name w:val="caption"/>
    <w:basedOn w:val="Normal"/>
    <w:next w:val="Normal"/>
    <w:qFormat/>
    <w:rsid w:val="003C3859"/>
    <w:pPr>
      <w:tabs>
        <w:tab w:val="left" w:pos="765"/>
      </w:tabs>
      <w:spacing w:before="80" w:after="0" w:line="280" w:lineRule="auto"/>
      <w:ind w:left="45"/>
      <w:jc w:val="both"/>
    </w:pPr>
    <w:rPr>
      <w:rFonts w:ascii="Times New Roman" w:hAnsi="Times New Roman"/>
      <w:b/>
      <w:bCs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B71-DE75-444D-8F9F-E31A66A5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19</Pages>
  <Words>2917</Words>
  <Characters>21962</Characters>
  <Application>Microsoft Office Word</Application>
  <DocSecurity>0</DocSecurity>
  <Lines>183</Lines>
  <Paragraphs>49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Potalov, Vitaliy (VW Group Rus)</cp:lastModifiedBy>
  <cp:revision>5</cp:revision>
  <cp:lastPrinted>2018-05-03T07:00:00Z</cp:lastPrinted>
  <dcterms:created xsi:type="dcterms:W3CDTF">2024-06-11T14:16:00Z</dcterms:created>
  <dcterms:modified xsi:type="dcterms:W3CDTF">2024-06-18T10:46:00Z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