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396510E7" w14:textId="77777777" w:rsidR="000717A2" w:rsidRDefault="0065566F" w:rsidP="00830685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 xml:space="preserve">на оказание </w:t>
      </w:r>
      <w:proofErr w:type="gramStart"/>
      <w:r w:rsidRPr="00BF7DF7">
        <w:rPr>
          <w:rFonts w:ascii="Verdana" w:hAnsi="Verdana"/>
          <w:lang w:val="ru-RU"/>
        </w:rPr>
        <w:t xml:space="preserve">услуг </w:t>
      </w:r>
      <w:r w:rsidR="00BF7DF7" w:rsidRPr="00BF7DF7">
        <w:rPr>
          <w:lang w:val="ru-RU"/>
        </w:rPr>
        <w:t xml:space="preserve"> </w:t>
      </w:r>
      <w:r w:rsidR="00830685" w:rsidRPr="00830685">
        <w:rPr>
          <w:rFonts w:ascii="Verdana" w:hAnsi="Verdana"/>
          <w:lang w:val="ru-RU"/>
        </w:rPr>
        <w:t>по</w:t>
      </w:r>
      <w:proofErr w:type="gramEnd"/>
      <w:r w:rsidR="00830685" w:rsidRPr="00830685">
        <w:rPr>
          <w:rFonts w:ascii="Verdana" w:hAnsi="Verdana"/>
          <w:lang w:val="ru-RU"/>
        </w:rPr>
        <w:t xml:space="preserve"> </w:t>
      </w:r>
      <w:r w:rsidR="00830685">
        <w:rPr>
          <w:rFonts w:ascii="Verdana" w:hAnsi="Verdana"/>
          <w:lang w:val="ru-RU"/>
        </w:rPr>
        <w:t>внедрению</w:t>
      </w:r>
      <w:r w:rsidR="00830685" w:rsidRPr="00830685">
        <w:rPr>
          <w:rFonts w:ascii="Verdana" w:hAnsi="Verdana"/>
          <w:lang w:val="ru-RU"/>
        </w:rPr>
        <w:t xml:space="preserve"> </w:t>
      </w:r>
      <w:r w:rsidR="00C572F9">
        <w:rPr>
          <w:rFonts w:ascii="Verdana" w:hAnsi="Verdana"/>
          <w:lang w:val="ru-RU"/>
        </w:rPr>
        <w:t>программы 1С:ЗУП</w:t>
      </w:r>
      <w:r w:rsidR="002958D3" w:rsidRPr="00091034">
        <w:rPr>
          <w:rFonts w:ascii="Verdana" w:hAnsi="Verdana"/>
          <w:highlight w:val="yellow"/>
          <w:lang w:val="ru-RU"/>
        </w:rPr>
        <w:t xml:space="preserve"> </w:t>
      </w:r>
      <w:r w:rsidR="000717A2">
        <w:rPr>
          <w:rFonts w:ascii="Verdana" w:hAnsi="Verdana"/>
          <w:lang w:val="ru-RU"/>
        </w:rPr>
        <w:t>КОРП</w:t>
      </w:r>
    </w:p>
    <w:p w14:paraId="67D3FE57" w14:textId="6E868339" w:rsidR="0065566F" w:rsidRPr="00091034" w:rsidRDefault="0056477D" w:rsidP="00830685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076B0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E4AC42B" w:rsidR="00C46DEA" w:rsidRPr="00091034" w:rsidRDefault="00076B0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Описани</w:t>
            </w:r>
            <w:r w:rsidR="00C46DEA" w:rsidRPr="00BF7DF7">
              <w:rPr>
                <w:rStyle w:val="ad"/>
                <w:rFonts w:ascii="Verdana" w:hAnsi="Verdana"/>
                <w:noProof/>
              </w:rPr>
              <w:t>е услуг / работ / 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076B0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076B0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076B0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091034" w:rsidRDefault="00076B0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091034">
              <w:rPr>
                <w:rStyle w:val="ad"/>
                <w:rFonts w:ascii="Verdana" w:hAnsi="Verdana"/>
                <w:noProof/>
              </w:rPr>
              <w:t>6.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4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076B04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103C0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091034">
        <w:rPr>
          <w:rFonts w:ascii="Verdana" w:hAnsi="Verdana"/>
        </w:rPr>
        <w:t>Общие положения</w:t>
      </w:r>
      <w:bookmarkEnd w:id="20"/>
    </w:p>
    <w:p w14:paraId="672DC307" w14:textId="30E712A8" w:rsidR="00E249B8" w:rsidRPr="00091034" w:rsidRDefault="00F15009" w:rsidP="0059000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590003">
        <w:rPr>
          <w:rFonts w:ascii="Verdana" w:hAnsi="Verdana"/>
          <w:lang w:val="ru-RU"/>
        </w:rPr>
        <w:t>бщих условиях закупок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proofErr w:type="gramStart"/>
      <w:r w:rsidRPr="00091034">
        <w:rPr>
          <w:rFonts w:ascii="Verdana" w:hAnsi="Verdana"/>
          <w:lang w:val="ru-RU"/>
        </w:rPr>
        <w:t>2.</w:t>
      </w:r>
      <w:r w:rsidRPr="00091034">
        <w:rPr>
          <w:rFonts w:ascii="Verdana" w:hAnsi="Verdana"/>
          <w:b/>
          <w:lang w:val="ru-RU"/>
        </w:rPr>
        <w:t>Контактные</w:t>
      </w:r>
      <w:proofErr w:type="gramEnd"/>
      <w:r w:rsidRPr="00091034">
        <w:rPr>
          <w:rFonts w:ascii="Verdana" w:hAnsi="Verdana"/>
          <w:b/>
          <w:lang w:val="ru-RU"/>
        </w:rPr>
        <w:t xml:space="preserve">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598C193B" w14:textId="245BF185" w:rsidR="00BF7DF7" w:rsidRPr="00BF7DF7" w:rsidRDefault="00B5725A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Заграй Кирилл</w:t>
      </w:r>
    </w:p>
    <w:p w14:paraId="6EB0D15C" w14:textId="18D76A55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Руководитель ИТ проектов</w:t>
      </w:r>
    </w:p>
    <w:p w14:paraId="105CA9F7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Подразделение ИТ</w:t>
      </w:r>
    </w:p>
    <w:p w14:paraId="4DF11FCD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ООО АГР</w:t>
      </w:r>
    </w:p>
    <w:p w14:paraId="365DE8B8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Филиал в г. Москва</w:t>
      </w:r>
    </w:p>
    <w:p w14:paraId="4BB5AE3D" w14:textId="0DB532B3" w:rsidR="00BF7DF7" w:rsidRPr="009A49DE" w:rsidRDefault="000717A2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>123112</w:t>
      </w:r>
      <w:r w:rsidRPr="009A49DE">
        <w:rPr>
          <w:rFonts w:ascii="Verdana" w:hAnsi="Verdana"/>
          <w:lang w:val="ru-RU"/>
        </w:rPr>
        <w:t xml:space="preserve"> </w:t>
      </w:r>
      <w:r w:rsidR="00BF7DF7" w:rsidRPr="009A49DE">
        <w:rPr>
          <w:rFonts w:ascii="Verdana" w:hAnsi="Verdana"/>
          <w:lang w:val="ru-RU"/>
        </w:rPr>
        <w:t>Москва, Россия</w:t>
      </w:r>
    </w:p>
    <w:p w14:paraId="13EA3A5F" w14:textId="23891A98" w:rsidR="00BF7DF7" w:rsidRPr="00BF7DF7" w:rsidRDefault="000717A2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Пресненская набережная</w:t>
      </w:r>
      <w:r w:rsidR="00BF7DF7" w:rsidRPr="009A49DE">
        <w:rPr>
          <w:rFonts w:ascii="Verdana" w:hAnsi="Verdana"/>
          <w:lang w:val="ru-RU"/>
        </w:rPr>
        <w:t xml:space="preserve"> д.</w:t>
      </w:r>
      <w:r>
        <w:rPr>
          <w:rFonts w:ascii="Verdana" w:hAnsi="Verdana"/>
          <w:lang w:val="ru-RU"/>
        </w:rPr>
        <w:t xml:space="preserve"> 2</w:t>
      </w:r>
      <w:r w:rsidR="00BF7DF7" w:rsidRPr="009A49DE">
        <w:rPr>
          <w:rFonts w:ascii="Verdana" w:hAnsi="Verdana"/>
          <w:lang w:val="ru-RU"/>
        </w:rPr>
        <w:t xml:space="preserve">, </w:t>
      </w:r>
      <w:r>
        <w:rPr>
          <w:rFonts w:ascii="Verdana" w:hAnsi="Verdana"/>
          <w:lang w:val="ru-RU"/>
        </w:rPr>
        <w:t>этаж 7. Офис ООО «АГР»</w:t>
      </w:r>
    </w:p>
    <w:p w14:paraId="1BCE0AAF" w14:textId="77A3026D" w:rsidR="00BF7DF7" w:rsidRPr="00BF7DF7" w:rsidRDefault="00B5725A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proofErr w:type="gramStart"/>
      <w:r>
        <w:rPr>
          <w:rFonts w:ascii="Verdana" w:hAnsi="Verdana"/>
          <w:lang w:val="ru-RU"/>
        </w:rPr>
        <w:t>mob.+</w:t>
      </w:r>
      <w:proofErr w:type="gramEnd"/>
      <w:r>
        <w:rPr>
          <w:rFonts w:ascii="Verdana" w:hAnsi="Verdana"/>
          <w:lang w:val="ru-RU"/>
        </w:rPr>
        <w:t>79153578415</w:t>
      </w:r>
    </w:p>
    <w:p w14:paraId="169B9971" w14:textId="7AD47E15" w:rsidR="00881CA6" w:rsidRPr="00091034" w:rsidRDefault="00B5725A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en-US"/>
        </w:rPr>
        <w:t>kirill</w:t>
      </w:r>
      <w:proofErr w:type="spellEnd"/>
      <w:r w:rsidRPr="00B5725A">
        <w:rPr>
          <w:rFonts w:ascii="Verdana" w:hAnsi="Verdana"/>
          <w:lang w:val="ru-RU"/>
        </w:rPr>
        <w:t>.</w:t>
      </w:r>
      <w:proofErr w:type="spellStart"/>
      <w:r>
        <w:rPr>
          <w:rFonts w:ascii="Verdana" w:hAnsi="Verdana"/>
          <w:lang w:val="en-US"/>
        </w:rPr>
        <w:t>zagrai</w:t>
      </w:r>
      <w:proofErr w:type="spellEnd"/>
      <w:r w:rsidR="00BF7DF7" w:rsidRPr="00BF7DF7">
        <w:rPr>
          <w:rFonts w:ascii="Verdana" w:hAnsi="Verdana"/>
          <w:lang w:val="ru-RU"/>
        </w:rPr>
        <w:t>@</w:t>
      </w:r>
      <w:proofErr w:type="spellStart"/>
      <w:r w:rsidR="00BF7DF7" w:rsidRPr="00BF7DF7">
        <w:rPr>
          <w:rFonts w:ascii="Verdana" w:hAnsi="Verdana"/>
          <w:lang w:val="ru-RU"/>
        </w:rPr>
        <w:t>agr.auto</w:t>
      </w:r>
      <w:proofErr w:type="spellEnd"/>
      <w:r w:rsidR="00881CA6"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3C15BC52" w14:textId="227B8E7A" w:rsidR="00590003" w:rsidRPr="00D72753" w:rsidRDefault="00590003" w:rsidP="00590003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590003">
        <w:rPr>
          <w:rFonts w:ascii="Verdana" w:hAnsi="Verdana"/>
          <w:lang w:val="ru-RU"/>
        </w:rPr>
        <w:t xml:space="preserve"> </w:t>
      </w:r>
      <w:r w:rsidRPr="00D72753">
        <w:rPr>
          <w:rFonts w:ascii="Verdana" w:hAnsi="Verdana"/>
          <w:lang w:val="ru-RU"/>
        </w:rPr>
        <w:t>Внедрение</w:t>
      </w:r>
      <w:r w:rsidR="00B5725A">
        <w:rPr>
          <w:rFonts w:ascii="Verdana" w:hAnsi="Verdana"/>
          <w:lang w:val="ru-RU"/>
        </w:rPr>
        <w:t xml:space="preserve"> и техническая поддержка</w:t>
      </w:r>
      <w:r w:rsidRPr="00D72753">
        <w:rPr>
          <w:rFonts w:ascii="Verdana" w:hAnsi="Verdana"/>
          <w:lang w:val="ru-RU"/>
        </w:rPr>
        <w:t xml:space="preserve"> </w:t>
      </w:r>
      <w:r w:rsidR="00BD3B94">
        <w:rPr>
          <w:rFonts w:ascii="Verdana" w:hAnsi="Verdana"/>
          <w:lang w:val="ru-RU"/>
        </w:rPr>
        <w:t xml:space="preserve">программы </w:t>
      </w:r>
      <w:r w:rsidR="00B5725A">
        <w:rPr>
          <w:rFonts w:ascii="Verdana" w:hAnsi="Verdana"/>
          <w:lang w:val="ru-RU"/>
        </w:rPr>
        <w:t>«Электронный документооборот»</w:t>
      </w:r>
    </w:p>
    <w:p w14:paraId="15E1C831" w14:textId="21A10C3C" w:rsidR="00881CA6" w:rsidRPr="000910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58FF88A3" w:rsidR="00130983" w:rsidRPr="00D72753" w:rsidRDefault="00881CA6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D72753">
        <w:rPr>
          <w:rFonts w:ascii="Verdana" w:hAnsi="Verdana"/>
        </w:rPr>
        <w:t>Описание</w:t>
      </w:r>
      <w:r w:rsidR="0043359F" w:rsidRPr="00D72753">
        <w:rPr>
          <w:rFonts w:ascii="Verdana" w:hAnsi="Verdana"/>
        </w:rPr>
        <w:t xml:space="preserve"> </w:t>
      </w:r>
      <w:r w:rsidR="00130983" w:rsidRPr="00D72753">
        <w:rPr>
          <w:rFonts w:ascii="Verdana" w:hAnsi="Verdana"/>
        </w:rPr>
        <w:t xml:space="preserve">услуг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7F1EE05" w14:textId="5DCDFC0E" w:rsidR="00061BB7" w:rsidRPr="00D72753" w:rsidRDefault="0043359F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Перечень </w:t>
      </w:r>
      <w:r w:rsidR="007B5F45" w:rsidRPr="00D72753">
        <w:rPr>
          <w:rFonts w:ascii="Verdana" w:hAnsi="Verdana"/>
          <w:lang w:val="ru-RU"/>
        </w:rPr>
        <w:t xml:space="preserve">и характеристики </w:t>
      </w:r>
      <w:r w:rsidR="00207AEF" w:rsidRPr="00D72753">
        <w:rPr>
          <w:rFonts w:ascii="Verdana" w:hAnsi="Verdana"/>
          <w:lang w:val="ru-RU"/>
        </w:rPr>
        <w:t>услуг</w:t>
      </w:r>
      <w:r w:rsidR="00E154F1">
        <w:rPr>
          <w:rFonts w:ascii="Verdana" w:hAnsi="Verdana"/>
          <w:lang w:val="ru-RU"/>
        </w:rPr>
        <w:t>:</w:t>
      </w:r>
    </w:p>
    <w:p w14:paraId="7D13DB31" w14:textId="68401195" w:rsidR="00061BB7" w:rsidRDefault="00BD3B94" w:rsidP="00281826">
      <w:pPr>
        <w:pStyle w:val="aa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Внедрение </w:t>
      </w:r>
      <w:r w:rsidR="00B5725A">
        <w:rPr>
          <w:rFonts w:ascii="Verdana" w:hAnsi="Verdana"/>
          <w:lang w:val="ru-RU"/>
        </w:rPr>
        <w:t>программы с функционалом ЭДО</w:t>
      </w:r>
      <w:r w:rsidR="000717A2">
        <w:rPr>
          <w:rFonts w:ascii="Verdana" w:hAnsi="Verdana"/>
          <w:lang w:val="ru-RU"/>
        </w:rPr>
        <w:t xml:space="preserve"> для </w:t>
      </w:r>
      <w:proofErr w:type="spellStart"/>
      <w:r w:rsidR="000717A2">
        <w:rPr>
          <w:rFonts w:ascii="Verdana" w:hAnsi="Verdana"/>
          <w:lang w:val="ru-RU"/>
        </w:rPr>
        <w:t>ходдинга</w:t>
      </w:r>
      <w:proofErr w:type="spellEnd"/>
      <w:r w:rsidR="000717A2">
        <w:rPr>
          <w:rFonts w:ascii="Verdana" w:hAnsi="Verdana"/>
          <w:lang w:val="ru-RU"/>
        </w:rPr>
        <w:t xml:space="preserve"> АГР</w:t>
      </w:r>
    </w:p>
    <w:p w14:paraId="70D880F6" w14:textId="328A42CE" w:rsidR="00E154F1" w:rsidRDefault="00E154F1" w:rsidP="00281826">
      <w:pPr>
        <w:pStyle w:val="aa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Доработка/модификация/консультация по отдельным заявкам (</w:t>
      </w:r>
      <w:r>
        <w:rPr>
          <w:rFonts w:ascii="Verdana" w:hAnsi="Verdana"/>
          <w:lang w:val="en-US"/>
        </w:rPr>
        <w:t>T</w:t>
      </w:r>
      <w:r w:rsidRPr="00281826">
        <w:rPr>
          <w:rFonts w:ascii="Verdana" w:hAnsi="Verdana"/>
          <w:lang w:val="ru-RU"/>
        </w:rPr>
        <w:t>&amp;</w:t>
      </w:r>
      <w:r>
        <w:rPr>
          <w:rFonts w:ascii="Verdana" w:hAnsi="Verdana"/>
          <w:lang w:val="en-US"/>
        </w:rPr>
        <w:t>M</w:t>
      </w:r>
      <w:r w:rsidRPr="0028182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по ставкам)</w:t>
      </w:r>
    </w:p>
    <w:p w14:paraId="5F476E6A" w14:textId="4D81CC6C" w:rsidR="00E154F1" w:rsidRPr="00D72753" w:rsidRDefault="00E154F1" w:rsidP="00281826">
      <w:pPr>
        <w:pStyle w:val="aa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Поддержка после внедрения</w:t>
      </w:r>
    </w:p>
    <w:p w14:paraId="797DA9D4" w14:textId="7E8D6261" w:rsidR="00061BB7" w:rsidRPr="00D72753" w:rsidRDefault="00061BB7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Место оказания услуг </w:t>
      </w:r>
    </w:p>
    <w:p w14:paraId="24D0F6CD" w14:textId="30213B5D" w:rsidR="00BF7DF7" w:rsidRPr="009A49DE" w:rsidRDefault="00BF7DF7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9A49DE">
        <w:rPr>
          <w:rFonts w:ascii="Verdana" w:hAnsi="Verdana"/>
          <w:lang w:val="ru-RU"/>
        </w:rPr>
        <w:t>Филиал в г. Москва, 1</w:t>
      </w:r>
      <w:r w:rsidR="009A49DE" w:rsidRPr="009A49DE">
        <w:rPr>
          <w:rFonts w:ascii="Verdana" w:hAnsi="Verdana"/>
          <w:lang w:val="ru-RU"/>
        </w:rPr>
        <w:t>23112</w:t>
      </w:r>
      <w:r w:rsidRPr="009A49DE">
        <w:rPr>
          <w:rFonts w:ascii="Verdana" w:hAnsi="Verdana"/>
          <w:lang w:val="ru-RU"/>
        </w:rPr>
        <w:t xml:space="preserve"> Москва, Россия</w:t>
      </w:r>
    </w:p>
    <w:p w14:paraId="6D82E23C" w14:textId="48BFD4E3" w:rsidR="00BF7DF7" w:rsidRPr="00D72753" w:rsidRDefault="009A49DE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9A49DE">
        <w:rPr>
          <w:rFonts w:ascii="Verdana" w:hAnsi="Verdana"/>
          <w:lang w:val="ru-RU"/>
        </w:rPr>
        <w:t>Пресненская набережная</w:t>
      </w:r>
      <w:r w:rsidR="00BF7DF7" w:rsidRPr="009A49DE">
        <w:rPr>
          <w:rFonts w:ascii="Verdana" w:hAnsi="Verdana"/>
          <w:lang w:val="ru-RU"/>
        </w:rPr>
        <w:t xml:space="preserve"> д. </w:t>
      </w:r>
      <w:r w:rsidRPr="009A49DE">
        <w:rPr>
          <w:rFonts w:ascii="Verdana" w:hAnsi="Verdana"/>
          <w:lang w:val="ru-RU"/>
        </w:rPr>
        <w:t>2</w:t>
      </w:r>
      <w:r w:rsidR="00207AEF" w:rsidRPr="00D72753" w:rsidDel="00E32B21">
        <w:rPr>
          <w:rFonts w:ascii="Verdana" w:hAnsi="Verdana"/>
          <w:lang w:val="ru-RU"/>
        </w:rPr>
        <w:t xml:space="preserve"> </w:t>
      </w:r>
      <w:r w:rsidR="00D15D5B" w:rsidRPr="00D72753">
        <w:rPr>
          <w:rFonts w:ascii="Verdana" w:hAnsi="Verdana"/>
          <w:lang w:val="ru-RU"/>
        </w:rPr>
        <w:t xml:space="preserve"> </w:t>
      </w:r>
    </w:p>
    <w:p w14:paraId="558978D3" w14:textId="70E78E61" w:rsidR="00130983" w:rsidRPr="00D72753" w:rsidRDefault="00BF7DF7" w:rsidP="00CC65F2">
      <w:pPr>
        <w:spacing w:after="0" w:line="240" w:lineRule="auto"/>
        <w:ind w:left="1276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Оказание </w:t>
      </w:r>
      <w:proofErr w:type="gramStart"/>
      <w:r w:rsidRPr="00D72753">
        <w:rPr>
          <w:rFonts w:ascii="Verdana" w:hAnsi="Verdana"/>
          <w:lang w:val="ru-RU"/>
        </w:rPr>
        <w:t>услуг  -</w:t>
      </w:r>
      <w:proofErr w:type="gramEnd"/>
      <w:r w:rsidRPr="00D72753">
        <w:rPr>
          <w:rFonts w:ascii="Verdana" w:hAnsi="Verdana"/>
          <w:lang w:val="ru-RU"/>
        </w:rPr>
        <w:t xml:space="preserve"> </w:t>
      </w:r>
      <w:r w:rsidR="00D72753">
        <w:rPr>
          <w:rFonts w:ascii="Verdana" w:hAnsi="Verdana"/>
          <w:lang w:val="ru-RU"/>
        </w:rPr>
        <w:t xml:space="preserve">очно и </w:t>
      </w:r>
      <w:r w:rsidRPr="00D72753">
        <w:rPr>
          <w:rFonts w:ascii="Verdana" w:hAnsi="Verdana"/>
          <w:lang w:val="ru-RU"/>
        </w:rPr>
        <w:t>удалённо</w:t>
      </w:r>
      <w:r w:rsidR="000717A2">
        <w:rPr>
          <w:rFonts w:ascii="Verdana" w:hAnsi="Verdana"/>
          <w:lang w:val="ru-RU"/>
        </w:rPr>
        <w:t xml:space="preserve"> (по согласованию с АГР)</w:t>
      </w:r>
      <w:r w:rsidRPr="00D72753">
        <w:rPr>
          <w:rFonts w:ascii="Verdana" w:hAnsi="Verdana"/>
          <w:lang w:val="ru-RU"/>
        </w:rPr>
        <w:t>, с подключением к системам ООО «АГР»</w:t>
      </w:r>
    </w:p>
    <w:p w14:paraId="37DA2F1D" w14:textId="110414FC" w:rsidR="001C2F2A" w:rsidRPr="00D72753" w:rsidRDefault="0043359F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2.3. </w:t>
      </w: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D72753">
        <w:rPr>
          <w:rFonts w:ascii="Verdana" w:hAnsi="Verdana"/>
          <w:lang w:val="ru-RU"/>
        </w:rPr>
        <w:tab/>
      </w:r>
      <w:r w:rsidR="007B5F45" w:rsidRPr="009A49DE">
        <w:rPr>
          <w:rFonts w:ascii="Verdana" w:hAnsi="Verdana"/>
          <w:lang w:val="ru-RU"/>
        </w:rPr>
        <w:t xml:space="preserve">Сроки </w:t>
      </w:r>
      <w:r w:rsidR="001C2F2A" w:rsidRPr="009A49DE">
        <w:rPr>
          <w:rFonts w:ascii="Verdana" w:hAnsi="Verdana"/>
          <w:lang w:val="ru-RU"/>
        </w:rPr>
        <w:t>оказания услуг</w:t>
      </w:r>
      <w:r w:rsidR="001C2F2A" w:rsidRPr="00D72753">
        <w:rPr>
          <w:rFonts w:ascii="Verdana" w:hAnsi="Verdana"/>
          <w:lang w:val="ru-RU"/>
        </w:rPr>
        <w:t xml:space="preserve"> 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EC22071" w14:textId="17D8825E" w:rsidR="007B5F45" w:rsidRPr="00091034" w:rsidRDefault="00AB3E07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Определяются после завершения конкурса и выбора поставщика</w:t>
      </w:r>
    </w:p>
    <w:p w14:paraId="78AFA85E" w14:textId="0622D64A" w:rsidR="00881CA6" w:rsidRPr="00091034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2.4.  Обязанности Контрагента</w:t>
      </w:r>
    </w:p>
    <w:p w14:paraId="32C22325" w14:textId="77777777" w:rsidR="00E154F1" w:rsidRDefault="00CC65F2" w:rsidP="00D72753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Контрагент</w:t>
      </w:r>
      <w:r w:rsidR="00BF7DF7" w:rsidRPr="00BF7DF7">
        <w:rPr>
          <w:rFonts w:ascii="Verdana" w:hAnsi="Verdana"/>
          <w:lang w:val="ru-RU"/>
        </w:rPr>
        <w:t xml:space="preserve"> обязан своевременно и надлежащим качеством предоставлять </w:t>
      </w:r>
      <w:r>
        <w:rPr>
          <w:rFonts w:ascii="Verdana" w:hAnsi="Verdana"/>
          <w:lang w:val="ru-RU"/>
        </w:rPr>
        <w:t>ООО «АГР»</w:t>
      </w:r>
      <w:r w:rsidR="00BF7DF7" w:rsidRPr="00BF7DF7">
        <w:rPr>
          <w:rFonts w:ascii="Verdana" w:hAnsi="Verdana"/>
          <w:lang w:val="ru-RU"/>
        </w:rPr>
        <w:t xml:space="preserve"> комплекс Работ и Услуг по</w:t>
      </w:r>
      <w:r w:rsidR="00E154F1">
        <w:rPr>
          <w:rFonts w:ascii="Verdana" w:hAnsi="Verdana"/>
          <w:lang w:val="ru-RU"/>
        </w:rPr>
        <w:t>:</w:t>
      </w:r>
    </w:p>
    <w:p w14:paraId="1E747C2C" w14:textId="16F3F5DD" w:rsidR="00E154F1" w:rsidRPr="00281826" w:rsidRDefault="00D72753" w:rsidP="00281826">
      <w:pPr>
        <w:pStyle w:val="aa"/>
        <w:numPr>
          <w:ilvl w:val="0"/>
          <w:numId w:val="5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 xml:space="preserve">внедрению </w:t>
      </w:r>
      <w:r w:rsidR="00BD3B94" w:rsidRPr="00281826">
        <w:rPr>
          <w:rFonts w:ascii="Verdana" w:hAnsi="Verdana"/>
          <w:lang w:val="ru-RU"/>
        </w:rPr>
        <w:t xml:space="preserve">программы </w:t>
      </w:r>
      <w:r w:rsidR="00B5725A">
        <w:rPr>
          <w:rFonts w:ascii="Verdana" w:hAnsi="Verdana"/>
          <w:lang w:val="ru-RU"/>
        </w:rPr>
        <w:t>с функционалом ЭДО</w:t>
      </w:r>
      <w:r w:rsidR="000717A2" w:rsidRPr="00281826">
        <w:rPr>
          <w:rFonts w:ascii="Verdana" w:hAnsi="Verdana"/>
          <w:lang w:val="ru-RU"/>
        </w:rPr>
        <w:t xml:space="preserve"> для холдинга АГР</w:t>
      </w:r>
    </w:p>
    <w:p w14:paraId="0E304D67" w14:textId="07030CF6" w:rsidR="00E154F1" w:rsidRPr="00281826" w:rsidRDefault="00E154F1" w:rsidP="00281826">
      <w:pPr>
        <w:pStyle w:val="aa"/>
        <w:numPr>
          <w:ilvl w:val="0"/>
          <w:numId w:val="5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>доработке/модификации</w:t>
      </w:r>
      <w:r>
        <w:rPr>
          <w:rFonts w:ascii="Verdana" w:hAnsi="Verdana"/>
          <w:lang w:val="ru-RU"/>
        </w:rPr>
        <w:t>/консультации</w:t>
      </w:r>
    </w:p>
    <w:p w14:paraId="716C1B30" w14:textId="65739A37" w:rsidR="00D45040" w:rsidRPr="00281826" w:rsidRDefault="00E154F1" w:rsidP="00281826">
      <w:pPr>
        <w:pStyle w:val="aa"/>
        <w:numPr>
          <w:ilvl w:val="0"/>
          <w:numId w:val="5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>поддержке</w:t>
      </w:r>
    </w:p>
    <w:p w14:paraId="46D6AC27" w14:textId="7BB2619C" w:rsidR="00BF7DF7" w:rsidRDefault="002B379A" w:rsidP="00BF7DF7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Полные т</w:t>
      </w:r>
      <w:r w:rsidR="00D72753">
        <w:rPr>
          <w:rFonts w:ascii="Verdana" w:hAnsi="Verdana"/>
          <w:lang w:val="ru-RU"/>
        </w:rPr>
        <w:t>ребования</w:t>
      </w:r>
      <w:r w:rsidR="00BF7DF7" w:rsidRPr="00BF7DF7">
        <w:rPr>
          <w:rFonts w:ascii="Verdana" w:hAnsi="Verdana"/>
          <w:lang w:val="ru-RU"/>
        </w:rPr>
        <w:t xml:space="preserve"> указан</w:t>
      </w:r>
      <w:r w:rsidR="00D72753">
        <w:rPr>
          <w:rFonts w:ascii="Verdana" w:hAnsi="Verdana"/>
          <w:lang w:val="ru-RU"/>
        </w:rPr>
        <w:t>ы</w:t>
      </w:r>
      <w:r w:rsidR="00BF7DF7" w:rsidRPr="00BF7DF7">
        <w:rPr>
          <w:rFonts w:ascii="Verdana" w:hAnsi="Verdana"/>
          <w:lang w:val="ru-RU"/>
        </w:rPr>
        <w:t xml:space="preserve"> в </w:t>
      </w:r>
      <w:proofErr w:type="spellStart"/>
      <w:r w:rsidR="00BF7DF7" w:rsidRPr="00BF7DF7">
        <w:rPr>
          <w:rFonts w:ascii="Verdana" w:hAnsi="Verdana"/>
          <w:lang w:val="ru-RU"/>
        </w:rPr>
        <w:t>приложении</w:t>
      </w:r>
      <w:r>
        <w:rPr>
          <w:rFonts w:ascii="Verdana" w:hAnsi="Verdana"/>
          <w:lang w:val="ru-RU"/>
        </w:rPr>
        <w:t>ях</w:t>
      </w:r>
      <w:proofErr w:type="spellEnd"/>
      <w:r w:rsidR="00BF7DF7" w:rsidRPr="00BF7DF7">
        <w:rPr>
          <w:rFonts w:ascii="Verdana" w:hAnsi="Verdana"/>
          <w:lang w:val="ru-RU"/>
        </w:rPr>
        <w:t xml:space="preserve"> к настоящему ТЗ</w:t>
      </w:r>
      <w:r>
        <w:rPr>
          <w:rFonts w:ascii="Verdana" w:hAnsi="Verdana"/>
          <w:lang w:val="ru-RU"/>
        </w:rPr>
        <w:t>.</w:t>
      </w:r>
    </w:p>
    <w:p w14:paraId="1A7ED821" w14:textId="3E6456CE" w:rsidR="00D45040" w:rsidRDefault="00D45040" w:rsidP="00D45040">
      <w:pPr>
        <w:tabs>
          <w:tab w:val="left" w:pos="1276"/>
        </w:tabs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lastRenderedPageBreak/>
        <w:t xml:space="preserve">2.5. </w:t>
      </w:r>
      <w:bookmarkStart w:id="61" w:name="_Toc472351088"/>
      <w:bookmarkStart w:id="62" w:name="_Toc472412719"/>
      <w:bookmarkStart w:id="63" w:name="_Toc472412737"/>
      <w:bookmarkStart w:id="64" w:name="_Toc513111867"/>
      <w:bookmarkStart w:id="65" w:name="_Toc513193642"/>
      <w:bookmarkStart w:id="66" w:name="_Toc513193652"/>
      <w:bookmarkStart w:id="67" w:name="_Toc513193690"/>
      <w:bookmarkStart w:id="68" w:name="_Toc513220068"/>
      <w:bookmarkStart w:id="69" w:name="_Toc514681494"/>
      <w:bookmarkStart w:id="70" w:name="_Toc514681504"/>
      <w:bookmarkStart w:id="71" w:name="_Toc514681514"/>
      <w:bookmarkStart w:id="72" w:name="_Toc517901922"/>
      <w:bookmarkStart w:id="73" w:name="_Toc517901932"/>
      <w:bookmarkStart w:id="74" w:name="_Toc517901942"/>
      <w:bookmarkStart w:id="75" w:name="_Toc517902089"/>
      <w:bookmarkStart w:id="76" w:name="_Toc517902125"/>
      <w:bookmarkStart w:id="77" w:name="_Toc517902135"/>
      <w:bookmarkStart w:id="78" w:name="_Toc517902242"/>
      <w:bookmarkStart w:id="79" w:name="_Toc517902469"/>
      <w:bookmarkStart w:id="80" w:name="_Toc517903093"/>
      <w:r w:rsidRPr="00D45040">
        <w:rPr>
          <w:rFonts w:ascii="Verdana" w:hAnsi="Verdana"/>
          <w:lang w:val="ru-RU"/>
        </w:rPr>
        <w:t>Требования к предоставляемым коммерческим предложениям и сметам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="00734764">
        <w:rPr>
          <w:rFonts w:ascii="Verdana" w:hAnsi="Verdana"/>
          <w:lang w:val="ru-RU"/>
        </w:rPr>
        <w:t>:</w:t>
      </w:r>
    </w:p>
    <w:p w14:paraId="2A62E0A6" w14:textId="74F98734" w:rsidR="00734764" w:rsidRDefault="00734764" w:rsidP="00281826">
      <w:pPr>
        <w:pStyle w:val="aa"/>
        <w:numPr>
          <w:ilvl w:val="0"/>
          <w:numId w:val="59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 xml:space="preserve">Коммерческое предложение должно быть предоставлено в </w:t>
      </w:r>
      <w:proofErr w:type="spellStart"/>
      <w:r w:rsidRPr="00281826">
        <w:rPr>
          <w:rFonts w:ascii="Verdana" w:hAnsi="Verdana"/>
          <w:lang w:val="ru-RU"/>
        </w:rPr>
        <w:t>соотверствии</w:t>
      </w:r>
      <w:proofErr w:type="spellEnd"/>
      <w:r w:rsidRPr="00281826">
        <w:rPr>
          <w:rFonts w:ascii="Verdana" w:hAnsi="Verdana"/>
          <w:lang w:val="ru-RU"/>
        </w:rPr>
        <w:t xml:space="preserve"> с правилами, описанными в данном ТЗ и Приложением 1 к настоящему ТЗ</w:t>
      </w:r>
      <w:r w:rsidR="00B5725A">
        <w:rPr>
          <w:rFonts w:ascii="Verdana" w:hAnsi="Verdana"/>
          <w:lang w:val="ru-RU"/>
        </w:rPr>
        <w:t xml:space="preserve"> «Функциональные требования ЭДО</w:t>
      </w:r>
      <w:r w:rsidR="001E7BB4">
        <w:rPr>
          <w:rFonts w:ascii="Verdana" w:hAnsi="Verdana"/>
          <w:lang w:val="ru-RU"/>
        </w:rPr>
        <w:t>»</w:t>
      </w:r>
      <w:r w:rsidR="008C242A">
        <w:rPr>
          <w:rFonts w:ascii="Verdana" w:hAnsi="Verdana"/>
          <w:lang w:val="ru-RU"/>
        </w:rPr>
        <w:t xml:space="preserve"> и </w:t>
      </w:r>
      <w:proofErr w:type="spellStart"/>
      <w:r w:rsidR="008C242A">
        <w:rPr>
          <w:rFonts w:ascii="Verdana" w:hAnsi="Verdana"/>
          <w:lang w:val="ru-RU"/>
        </w:rPr>
        <w:t>долно</w:t>
      </w:r>
      <w:proofErr w:type="spellEnd"/>
      <w:r w:rsidR="008C242A">
        <w:rPr>
          <w:rFonts w:ascii="Verdana" w:hAnsi="Verdana"/>
          <w:lang w:val="ru-RU"/>
        </w:rPr>
        <w:t xml:space="preserve"> содержать:</w:t>
      </w:r>
    </w:p>
    <w:p w14:paraId="46A1603C" w14:textId="78E3F3C2" w:rsidR="008C242A" w:rsidRPr="00281826" w:rsidRDefault="008C242A" w:rsidP="00281826">
      <w:pPr>
        <w:pStyle w:val="aa"/>
        <w:numPr>
          <w:ilvl w:val="1"/>
          <w:numId w:val="60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Информацию о компании и опыте реализации подобных проектов</w:t>
      </w:r>
      <w:r w:rsidR="00E619A5">
        <w:rPr>
          <w:rFonts w:ascii="Verdana" w:hAnsi="Verdana"/>
          <w:lang w:val="ru-RU"/>
        </w:rPr>
        <w:t xml:space="preserve"> (не менее 3х)</w:t>
      </w:r>
    </w:p>
    <w:p w14:paraId="72BFEF35" w14:textId="387C918A" w:rsidR="008C242A" w:rsidRDefault="008C242A" w:rsidP="00281826">
      <w:pPr>
        <w:pStyle w:val="aa"/>
        <w:numPr>
          <w:ilvl w:val="1"/>
          <w:numId w:val="60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Является ли компания </w:t>
      </w:r>
      <w:proofErr w:type="spellStart"/>
      <w:r>
        <w:rPr>
          <w:rFonts w:ascii="Verdana" w:hAnsi="Verdana"/>
          <w:lang w:val="ru-RU"/>
        </w:rPr>
        <w:t>франчайзи</w:t>
      </w:r>
      <w:proofErr w:type="spellEnd"/>
      <w:r>
        <w:rPr>
          <w:rFonts w:ascii="Verdana" w:hAnsi="Verdana"/>
          <w:lang w:val="ru-RU"/>
        </w:rPr>
        <w:t xml:space="preserve"> 1С</w:t>
      </w:r>
      <w:r w:rsidR="00B5725A">
        <w:rPr>
          <w:rFonts w:ascii="Verdana" w:hAnsi="Verdana"/>
          <w:lang w:val="ru-RU"/>
        </w:rPr>
        <w:t xml:space="preserve"> (опционально если продукт построен на базе продукта 1С)</w:t>
      </w:r>
    </w:p>
    <w:p w14:paraId="27EB01EB" w14:textId="60A76AFD" w:rsidR="008C242A" w:rsidRPr="00281826" w:rsidRDefault="008C242A" w:rsidP="00281826">
      <w:pPr>
        <w:pStyle w:val="aa"/>
        <w:numPr>
          <w:ilvl w:val="1"/>
          <w:numId w:val="60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Информацию о размере компании </w:t>
      </w:r>
      <w:r w:rsidR="00E619A5">
        <w:rPr>
          <w:rFonts w:ascii="Verdana" w:hAnsi="Verdana"/>
          <w:lang w:val="ru-RU"/>
        </w:rPr>
        <w:t>и н</w:t>
      </w:r>
      <w:r w:rsidR="00B5725A">
        <w:rPr>
          <w:rFonts w:ascii="Verdana" w:hAnsi="Verdana"/>
          <w:lang w:val="ru-RU"/>
        </w:rPr>
        <w:t>аличии необходимых специалистов.</w:t>
      </w:r>
    </w:p>
    <w:p w14:paraId="4F102951" w14:textId="4EBC3358" w:rsidR="00734764" w:rsidRPr="00281826" w:rsidRDefault="001E7BB4" w:rsidP="00281826">
      <w:pPr>
        <w:pStyle w:val="aa"/>
        <w:numPr>
          <w:ilvl w:val="0"/>
          <w:numId w:val="59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 xml:space="preserve">Необходимо заполнить и </w:t>
      </w:r>
      <w:r w:rsidR="00B5725A">
        <w:rPr>
          <w:rFonts w:ascii="Verdana" w:hAnsi="Verdana"/>
          <w:lang w:val="ru-RU"/>
        </w:rPr>
        <w:t>предоставить Приложение 2 к настоящему ТЗ «Чек-лист</w:t>
      </w:r>
      <w:r w:rsidRPr="00281826">
        <w:rPr>
          <w:rFonts w:ascii="Verdana" w:hAnsi="Verdana"/>
          <w:lang w:val="ru-RU"/>
        </w:rPr>
        <w:t xml:space="preserve"> функциональных требований</w:t>
      </w:r>
      <w:r w:rsidR="00B5725A">
        <w:rPr>
          <w:rFonts w:ascii="Verdana" w:hAnsi="Verdana"/>
          <w:lang w:val="ru-RU"/>
        </w:rPr>
        <w:t>»</w:t>
      </w:r>
    </w:p>
    <w:p w14:paraId="54326D01" w14:textId="35FD2318" w:rsidR="00741B06" w:rsidRPr="00D45040" w:rsidRDefault="001E7BB4" w:rsidP="00281826">
      <w:pPr>
        <w:pStyle w:val="aa"/>
        <w:numPr>
          <w:ilvl w:val="0"/>
          <w:numId w:val="59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</w:t>
      </w:r>
      <w:r w:rsidR="00741B06">
        <w:rPr>
          <w:rFonts w:ascii="Verdana" w:hAnsi="Verdana"/>
          <w:lang w:val="ru-RU"/>
        </w:rPr>
        <w:t xml:space="preserve">еобходимо предоставить </w:t>
      </w:r>
      <w:r>
        <w:rPr>
          <w:rFonts w:ascii="Verdana" w:hAnsi="Verdana"/>
          <w:lang w:val="ru-RU"/>
        </w:rPr>
        <w:t xml:space="preserve">смету </w:t>
      </w:r>
      <w:r w:rsidR="00741B06">
        <w:rPr>
          <w:rFonts w:ascii="Verdana" w:hAnsi="Verdana"/>
          <w:lang w:val="ru-RU"/>
        </w:rPr>
        <w:t xml:space="preserve">в форме предоставления сметы (приложение </w:t>
      </w:r>
      <w:r w:rsidR="00B5725A">
        <w:rPr>
          <w:rFonts w:ascii="Verdana" w:hAnsi="Verdana"/>
          <w:lang w:val="ru-RU"/>
        </w:rPr>
        <w:t>3</w:t>
      </w:r>
      <w:r w:rsidR="00741B06">
        <w:rPr>
          <w:rFonts w:ascii="Verdana" w:hAnsi="Verdana"/>
          <w:lang w:val="ru-RU"/>
        </w:rPr>
        <w:t xml:space="preserve"> к ТЗ)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7B108FAE" w:rsidR="00150182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81" w:name="_Toc84854376"/>
      <w:bookmarkStart w:id="82" w:name="_Toc84854377"/>
      <w:bookmarkEnd w:id="81"/>
      <w:r w:rsidRPr="00091034">
        <w:rPr>
          <w:rFonts w:ascii="Verdana" w:hAnsi="Verdana"/>
        </w:rPr>
        <w:t>Срок действия Договора</w:t>
      </w:r>
      <w:bookmarkEnd w:id="82"/>
    </w:p>
    <w:p w14:paraId="456505D0" w14:textId="1ECC26BC" w:rsidR="00BF7DF7" w:rsidRPr="00BF7DF7" w:rsidRDefault="00D72753" w:rsidP="00BF7DF7">
      <w:pPr>
        <w:ind w:left="708"/>
        <w:rPr>
          <w:lang w:val="ru-RU"/>
        </w:rPr>
      </w:pPr>
      <w:r>
        <w:rPr>
          <w:lang w:val="ru-RU"/>
        </w:rPr>
        <w:t>До завершения вып</w:t>
      </w:r>
      <w:r w:rsidR="00590003">
        <w:rPr>
          <w:lang w:val="ru-RU"/>
        </w:rPr>
        <w:t>о</w:t>
      </w:r>
      <w:r>
        <w:rPr>
          <w:lang w:val="ru-RU"/>
        </w:rPr>
        <w:t>лнения Работ / оказания Услуг</w:t>
      </w:r>
    </w:p>
    <w:p w14:paraId="0E3227E9" w14:textId="77777777" w:rsidR="00AB77F7" w:rsidRPr="00091034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83" w:name="_Toc517902237"/>
      <w:bookmarkStart w:id="84" w:name="_Toc517903088"/>
      <w:bookmarkStart w:id="85" w:name="_Toc73017958"/>
      <w:bookmarkEnd w:id="83"/>
      <w:bookmarkEnd w:id="84"/>
      <w:bookmarkEnd w:id="85"/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86" w:name="_Toc472351086"/>
      <w:bookmarkStart w:id="87" w:name="_Toc472412717"/>
      <w:bookmarkStart w:id="88" w:name="_Toc472412735"/>
      <w:bookmarkStart w:id="89" w:name="_Toc513111865"/>
      <w:bookmarkStart w:id="90" w:name="_Toc513193640"/>
      <w:bookmarkStart w:id="91" w:name="_Toc513193650"/>
      <w:bookmarkStart w:id="92" w:name="_Toc513193688"/>
      <w:bookmarkStart w:id="93" w:name="_Toc513220066"/>
      <w:bookmarkStart w:id="94" w:name="_Toc514681492"/>
      <w:bookmarkStart w:id="95" w:name="_Toc514681502"/>
      <w:bookmarkStart w:id="96" w:name="_Toc514681512"/>
      <w:bookmarkStart w:id="97" w:name="_Toc517901920"/>
      <w:bookmarkStart w:id="98" w:name="_Toc517901930"/>
      <w:bookmarkStart w:id="99" w:name="_Toc517901940"/>
      <w:bookmarkStart w:id="100" w:name="_Toc517902087"/>
      <w:bookmarkStart w:id="101" w:name="_Toc517902123"/>
      <w:bookmarkStart w:id="102" w:name="_Toc517902133"/>
      <w:bookmarkStart w:id="103" w:name="_Toc517902240"/>
      <w:bookmarkStart w:id="104" w:name="_Toc517902467"/>
      <w:bookmarkStart w:id="105" w:name="_Toc84854378"/>
      <w:r w:rsidRPr="00091034">
        <w:rPr>
          <w:rFonts w:ascii="Verdana" w:hAnsi="Verdana"/>
        </w:rPr>
        <w:t>Интеллектуальная собственность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B5725A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7777777" w:rsidR="00FF5A18" w:rsidRPr="00091034" w:rsidRDefault="00FF5A18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03E8AAD6" w:rsidR="00E25A1B" w:rsidRPr="00091034" w:rsidRDefault="00BD3B94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5F0EDFF5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581B369D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590003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lastRenderedPageBreak/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06BC3E21" w:rsidR="0089661C" w:rsidRPr="00CC65F2" w:rsidRDefault="00CC65F2" w:rsidP="00505B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CC65F2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06BC3E21" w:rsidR="0089661C" w:rsidRPr="00CC65F2" w:rsidRDefault="00CC65F2" w:rsidP="00505B6A">
                            <w:pPr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CC65F2">
                              <w:rPr>
                                <w:b/>
                                <w:bCs/>
                                <w:lang w:val="ru-RU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4731EB65" w:rsidR="00505B6A" w:rsidRPr="00091034" w:rsidRDefault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0003" w:rsidRPr="00C572F9">
              <w:rPr>
                <w:rFonts w:ascii="Verdana" w:hAnsi="Verdana"/>
                <w:sz w:val="18"/>
                <w:szCs w:val="18"/>
                <w:lang w:val="ru-RU"/>
              </w:rPr>
              <w:t>согласно Договору</w:t>
            </w:r>
            <w:r w:rsidR="0059000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C572F9">
              <w:rPr>
                <w:rFonts w:ascii="Verdana" w:hAnsi="Verdana"/>
                <w:sz w:val="18"/>
                <w:szCs w:val="18"/>
                <w:lang w:val="ru-RU"/>
              </w:rPr>
              <w:t>с</w:t>
            </w:r>
            <w:r w:rsidR="00505B6A" w:rsidRPr="00590003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4A7AD25B" w14:textId="079968EA" w:rsidR="00590003" w:rsidRPr="00CC65F2" w:rsidRDefault="00590003" w:rsidP="00590003">
            <w:pPr>
              <w:jc w:val="center"/>
              <w:rPr>
                <w:b/>
                <w:bCs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0C503603">
                      <wp:simplePos x="0" y="0"/>
                      <wp:positionH relativeFrom="column">
                        <wp:posOffset>8497</wp:posOffset>
                      </wp:positionH>
                      <wp:positionV relativeFrom="paragraph">
                        <wp:posOffset>41341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9BC83" id="Прямоугольник 2" o:spid="_x0000_s1026" style="position:absolute;margin-left:.65pt;margin-top:3.2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  <w:r w:rsidRPr="00CC65F2">
              <w:rPr>
                <w:b/>
                <w:bCs/>
                <w:lang w:val="ru-RU"/>
              </w:rPr>
              <w:t>Х</w:t>
            </w:r>
          </w:p>
          <w:p w14:paraId="154C9DBF" w14:textId="09E093F9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106" w:name="_Toc472351087"/>
      <w:bookmarkStart w:id="107" w:name="_Toc472412718"/>
      <w:bookmarkStart w:id="108" w:name="_Toc472412736"/>
      <w:bookmarkStart w:id="109" w:name="_Toc513111866"/>
      <w:bookmarkStart w:id="110" w:name="_Toc513193641"/>
      <w:bookmarkStart w:id="111" w:name="_Toc513193651"/>
      <w:bookmarkStart w:id="112" w:name="_Toc513193689"/>
      <w:bookmarkStart w:id="113" w:name="_Toc513220067"/>
      <w:bookmarkStart w:id="114" w:name="_Toc514681493"/>
      <w:bookmarkStart w:id="115" w:name="_Toc514681503"/>
      <w:bookmarkStart w:id="116" w:name="_Toc514681513"/>
      <w:bookmarkStart w:id="117" w:name="_Toc517901921"/>
      <w:bookmarkStart w:id="118" w:name="_Toc517901931"/>
      <w:bookmarkStart w:id="119" w:name="_Toc517901941"/>
      <w:bookmarkStart w:id="120" w:name="_Toc517902088"/>
      <w:bookmarkStart w:id="121" w:name="_Toc517902124"/>
      <w:bookmarkStart w:id="122" w:name="_Toc517902134"/>
      <w:bookmarkStart w:id="123" w:name="_Toc517902241"/>
      <w:bookmarkStart w:id="124" w:name="_Toc517902468"/>
      <w:bookmarkStart w:id="125" w:name="_Toc84854379"/>
      <w:r w:rsidRPr="00091034">
        <w:rPr>
          <w:rFonts w:ascii="Verdana" w:hAnsi="Verdana"/>
        </w:rPr>
        <w:t>Персональные данные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830685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1441F657" w:rsidR="00DE4081" w:rsidRPr="00091034" w:rsidRDefault="00B2759B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CC65F2"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B5725A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B5725A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175F0C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highlight w:val="yellow"/>
                <w:lang w:val="ru-RU"/>
              </w:rPr>
            </w:pPr>
            <w:r w:rsidRPr="00AB3E07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AB3E07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AB3E07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AB3E07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AB3E07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2DFD3003" w:rsidR="00DE4081" w:rsidRPr="00CC65F2" w:rsidRDefault="00DE4081" w:rsidP="00C706BA">
            <w:pPr>
              <w:spacing w:after="0" w:line="240" w:lineRule="auto"/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B5725A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091034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26" w:name="_Toc84854380"/>
      <w:bookmarkStart w:id="127" w:name="_Toc398126287"/>
      <w:bookmarkStart w:id="128" w:name="_Toc481591508"/>
      <w:r w:rsidRPr="00091034">
        <w:rPr>
          <w:rFonts w:ascii="Verdana" w:hAnsi="Verdana"/>
        </w:rPr>
        <w:t>Отчетность</w:t>
      </w:r>
      <w:bookmarkEnd w:id="126"/>
      <w:r w:rsidR="005E28AD" w:rsidRPr="00091034">
        <w:rPr>
          <w:rFonts w:ascii="Verdana" w:hAnsi="Verdana"/>
        </w:rPr>
        <w:t xml:space="preserve"> </w:t>
      </w:r>
      <w:bookmarkEnd w:id="127"/>
      <w:bookmarkEnd w:id="128"/>
    </w:p>
    <w:p w14:paraId="5B537B02" w14:textId="77777777" w:rsidR="00677618" w:rsidRPr="00091034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449AE418" w14:textId="7F365323" w:rsidR="00383467" w:rsidRPr="00D45040" w:rsidRDefault="00383467" w:rsidP="00D45040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48A14A36" w14:textId="510E5822" w:rsidR="003D0A9D" w:rsidRPr="00091034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29" w:name="_Toc84854381"/>
      <w:bookmarkStart w:id="130" w:name="_Toc84854382"/>
      <w:bookmarkEnd w:id="129"/>
      <w:r w:rsidRPr="00091034">
        <w:rPr>
          <w:rFonts w:ascii="Verdana" w:hAnsi="Verdana"/>
          <w:lang w:val="ru-RU"/>
        </w:rPr>
        <w:lastRenderedPageBreak/>
        <w:t>Приложения</w:t>
      </w:r>
      <w:bookmarkEnd w:id="130"/>
    </w:p>
    <w:p w14:paraId="6D98BD03" w14:textId="618A3966" w:rsidR="003D0A9D" w:rsidRPr="005B5A31" w:rsidRDefault="00B2759B" w:rsidP="005B5A31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bookmarkStart w:id="131" w:name="_Toc513111868"/>
      <w:bookmarkStart w:id="132" w:name="_Toc513193643"/>
      <w:bookmarkStart w:id="133" w:name="_Toc513193653"/>
      <w:bookmarkStart w:id="134" w:name="_Toc513193691"/>
      <w:bookmarkStart w:id="135" w:name="_Toc513220069"/>
      <w:bookmarkStart w:id="136" w:name="_Toc514681495"/>
      <w:bookmarkStart w:id="137" w:name="_Toc514681505"/>
      <w:bookmarkStart w:id="138" w:name="_Toc514681515"/>
      <w:bookmarkStart w:id="139" w:name="_Toc517901923"/>
      <w:bookmarkStart w:id="140" w:name="_Toc517901933"/>
      <w:bookmarkStart w:id="141" w:name="_Toc517901943"/>
      <w:bookmarkStart w:id="142" w:name="_Toc517902090"/>
      <w:bookmarkStart w:id="143" w:name="_Toc517902126"/>
      <w:bookmarkStart w:id="144" w:name="_Toc517902136"/>
      <w:bookmarkStart w:id="145" w:name="_Toc517902243"/>
      <w:bookmarkStart w:id="146" w:name="_Toc517902470"/>
      <w:r w:rsidRPr="005B5A31">
        <w:rPr>
          <w:lang w:val="ru-RU"/>
        </w:rPr>
        <w:t xml:space="preserve">Приложение 1 </w:t>
      </w:r>
      <w:r w:rsidR="00B5725A">
        <w:rPr>
          <w:lang w:val="ru-RU"/>
        </w:rPr>
        <w:t>Функциональные требования ЭДО</w:t>
      </w:r>
    </w:p>
    <w:p w14:paraId="2CA8EC39" w14:textId="17AED95F" w:rsidR="005B5A31" w:rsidRDefault="009A49DE" w:rsidP="005B5A31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r w:rsidRPr="009A49DE">
        <w:rPr>
          <w:lang w:val="ru-RU"/>
        </w:rPr>
        <w:t>Приложение</w:t>
      </w:r>
      <w:r w:rsidR="005B5A31" w:rsidRPr="009A49DE">
        <w:rPr>
          <w:lang w:val="ru-RU"/>
        </w:rPr>
        <w:t xml:space="preserve"> 2 </w:t>
      </w:r>
      <w:r w:rsidR="00B5725A">
        <w:rPr>
          <w:lang w:val="ru-RU"/>
        </w:rPr>
        <w:t>Чек-лист функциональных</w:t>
      </w:r>
      <w:r w:rsidR="00B5725A">
        <w:rPr>
          <w:lang w:val="ru-RU"/>
        </w:rPr>
        <w:t xml:space="preserve"> требований</w:t>
      </w:r>
    </w:p>
    <w:p w14:paraId="39D789FA" w14:textId="401C39AE" w:rsidR="004F0FB3" w:rsidRDefault="00201005" w:rsidP="005B5A31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r>
        <w:rPr>
          <w:lang w:val="ru-RU"/>
        </w:rPr>
        <w:t>Приложение 3</w:t>
      </w:r>
      <w:r w:rsidR="004F0FB3">
        <w:rPr>
          <w:lang w:val="ru-RU"/>
        </w:rPr>
        <w:t xml:space="preserve"> Требования к поддержке</w:t>
      </w:r>
    </w:p>
    <w:p w14:paraId="48B8E25E" w14:textId="3EE8C3BF" w:rsidR="00201005" w:rsidRDefault="00201005" w:rsidP="00201005">
      <w:pPr>
        <w:pStyle w:val="aa"/>
        <w:numPr>
          <w:ilvl w:val="0"/>
          <w:numId w:val="54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Приложение </w:t>
      </w:r>
      <w:r>
        <w:rPr>
          <w:lang w:val="ru-RU"/>
        </w:rPr>
        <w:t>4</w:t>
      </w:r>
      <w:r>
        <w:rPr>
          <w:lang w:val="ru-RU"/>
        </w:rPr>
        <w:t xml:space="preserve"> Форма предоставления сметы</w:t>
      </w:r>
    </w:p>
    <w:p w14:paraId="41045C3B" w14:textId="02ECA7AF" w:rsidR="00201005" w:rsidRPr="009A49DE" w:rsidRDefault="00201005" w:rsidP="00201005">
      <w:pPr>
        <w:pStyle w:val="aa"/>
        <w:spacing w:after="0" w:line="240" w:lineRule="auto"/>
        <w:ind w:left="790"/>
        <w:rPr>
          <w:lang w:val="ru-RU"/>
        </w:rPr>
      </w:pP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  <w:bookmarkStart w:id="147" w:name="_GoBack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sectPr w:rsidR="00A12803" w:rsidRPr="000910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B54A6" w14:textId="77777777" w:rsidR="00076B04" w:rsidRDefault="00076B04">
      <w:r>
        <w:separator/>
      </w:r>
    </w:p>
  </w:endnote>
  <w:endnote w:type="continuationSeparator" w:id="0">
    <w:p w14:paraId="739C5B3D" w14:textId="77777777" w:rsidR="00076B04" w:rsidRDefault="00076B04">
      <w:r>
        <w:continuationSeparator/>
      </w:r>
    </w:p>
  </w:endnote>
  <w:endnote w:type="continuationNotice" w:id="1">
    <w:p w14:paraId="53316265" w14:textId="77777777" w:rsidR="00076B04" w:rsidRDefault="00076B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830685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603AB05D" w:rsidR="007063F0" w:rsidRPr="00103C00" w:rsidRDefault="007063F0" w:rsidP="00103C00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103C00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 w:rsidRPr="00C572F9">
            <w:rPr>
              <w:rFonts w:ascii="Verdana" w:eastAsia="DengXian" w:hAnsi="Verdana" w:cs="Arial"/>
              <w:lang w:val="ru-RU"/>
            </w:rPr>
            <w:t xml:space="preserve"> </w:t>
          </w:r>
          <w:r>
            <w:rPr>
              <w:rFonts w:ascii="Verdana" w:eastAsia="DengXian" w:hAnsi="Verdana" w:cs="Arial"/>
            </w:rPr>
            <w:t>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351E6F19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</w:p>
        <w:p w14:paraId="5672ED65" w14:textId="6F13007E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201005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201005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6C720" w14:textId="77777777" w:rsidR="00076B04" w:rsidRDefault="00076B04">
      <w:r>
        <w:separator/>
      </w:r>
    </w:p>
  </w:footnote>
  <w:footnote w:type="continuationSeparator" w:id="0">
    <w:p w14:paraId="1B74E987" w14:textId="77777777" w:rsidR="00076B04" w:rsidRDefault="00076B04">
      <w:r>
        <w:continuationSeparator/>
      </w:r>
    </w:p>
  </w:footnote>
  <w:footnote w:type="continuationNotice" w:id="1">
    <w:p w14:paraId="11DBC8BB" w14:textId="77777777" w:rsidR="00076B04" w:rsidRDefault="00076B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20468F62" w:rsidR="00EB1794" w:rsidRPr="00BF7DF7" w:rsidRDefault="00BF7DF7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  <w:r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IT</w:t>
                </w:r>
                <w:r w:rsidR="00EB1794"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</w:p>
              <w:p w14:paraId="0EA366AA" w14:textId="2AE3F062" w:rsidR="00EB1794" w:rsidRPr="00BF7DF7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72FDB112" w:rsidR="00EB1794" w:rsidRPr="00C572F9" w:rsidRDefault="00EB1794" w:rsidP="00C572F9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B5725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24</w:t>
                </w:r>
                <w:r w:rsidR="00E15962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.</w:t>
                </w:r>
                <w:r w:rsidR="00C572F9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10</w:t>
                </w:r>
                <w:r w:rsidR="00BF7DF7"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.2024</w:t>
                </w: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475271"/>
    <w:multiLevelType w:val="hybridMultilevel"/>
    <w:tmpl w:val="F33E4466"/>
    <w:lvl w:ilvl="0" w:tplc="0419000F">
      <w:start w:val="1"/>
      <w:numFmt w:val="decimal"/>
      <w:lvlText w:val="%1."/>
      <w:lvlJc w:val="left"/>
      <w:pPr>
        <w:ind w:left="2000" w:hanging="360"/>
      </w:pPr>
    </w:lvl>
    <w:lvl w:ilvl="1" w:tplc="04190019" w:tentative="1">
      <w:start w:val="1"/>
      <w:numFmt w:val="lowerLetter"/>
      <w:lvlText w:val="%2."/>
      <w:lvlJc w:val="left"/>
      <w:pPr>
        <w:ind w:left="2720" w:hanging="360"/>
      </w:pPr>
    </w:lvl>
    <w:lvl w:ilvl="2" w:tplc="0419001B" w:tentative="1">
      <w:start w:val="1"/>
      <w:numFmt w:val="lowerRoman"/>
      <w:lvlText w:val="%3."/>
      <w:lvlJc w:val="right"/>
      <w:pPr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5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F79F6"/>
    <w:multiLevelType w:val="hybridMultilevel"/>
    <w:tmpl w:val="2E3031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2446D3"/>
    <w:multiLevelType w:val="hybridMultilevel"/>
    <w:tmpl w:val="9E4AF7F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C79F4"/>
    <w:multiLevelType w:val="hybridMultilevel"/>
    <w:tmpl w:val="49EEBAB6"/>
    <w:lvl w:ilvl="0" w:tplc="F606EFE2">
      <w:start w:val="1"/>
      <w:numFmt w:val="decimal"/>
      <w:lvlText w:val="%1."/>
      <w:lvlJc w:val="left"/>
      <w:pPr>
        <w:ind w:left="790" w:hanging="43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8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0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862C4"/>
    <w:multiLevelType w:val="hybridMultilevel"/>
    <w:tmpl w:val="708ACB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8A41F7E"/>
    <w:multiLevelType w:val="hybridMultilevel"/>
    <w:tmpl w:val="DE8C4636"/>
    <w:lvl w:ilvl="0" w:tplc="EAA0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E226E"/>
    <w:multiLevelType w:val="hybridMultilevel"/>
    <w:tmpl w:val="35566F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0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"/>
  </w:num>
  <w:num w:numId="3">
    <w:abstractNumId w:val="51"/>
  </w:num>
  <w:num w:numId="4">
    <w:abstractNumId w:val="21"/>
  </w:num>
  <w:num w:numId="5">
    <w:abstractNumId w:val="43"/>
  </w:num>
  <w:num w:numId="6">
    <w:abstractNumId w:val="2"/>
  </w:num>
  <w:num w:numId="7">
    <w:abstractNumId w:val="36"/>
  </w:num>
  <w:num w:numId="8">
    <w:abstractNumId w:val="38"/>
  </w:num>
  <w:num w:numId="9">
    <w:abstractNumId w:val="17"/>
  </w:num>
  <w:num w:numId="10">
    <w:abstractNumId w:val="4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1"/>
  </w:num>
  <w:num w:numId="15">
    <w:abstractNumId w:val="7"/>
  </w:num>
  <w:num w:numId="16">
    <w:abstractNumId w:val="23"/>
  </w:num>
  <w:num w:numId="17">
    <w:abstractNumId w:val="10"/>
  </w:num>
  <w:num w:numId="18">
    <w:abstractNumId w:val="33"/>
  </w:num>
  <w:num w:numId="19">
    <w:abstractNumId w:val="18"/>
  </w:num>
  <w:num w:numId="20">
    <w:abstractNumId w:val="49"/>
  </w:num>
  <w:num w:numId="21">
    <w:abstractNumId w:val="30"/>
  </w:num>
  <w:num w:numId="22">
    <w:abstractNumId w:val="19"/>
  </w:num>
  <w:num w:numId="23">
    <w:abstractNumId w:val="5"/>
  </w:num>
  <w:num w:numId="24">
    <w:abstractNumId w:val="52"/>
  </w:num>
  <w:num w:numId="25">
    <w:abstractNumId w:val="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42"/>
  </w:num>
  <w:num w:numId="30">
    <w:abstractNumId w:val="3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2"/>
  </w:num>
  <w:num w:numId="34">
    <w:abstractNumId w:val="14"/>
  </w:num>
  <w:num w:numId="35">
    <w:abstractNumId w:val="27"/>
  </w:num>
  <w:num w:numId="36">
    <w:abstractNumId w:val="26"/>
  </w:num>
  <w:num w:numId="37">
    <w:abstractNumId w:val="25"/>
  </w:num>
  <w:num w:numId="38">
    <w:abstractNumId w:val="28"/>
  </w:num>
  <w:num w:numId="39">
    <w:abstractNumId w:val="46"/>
  </w:num>
  <w:num w:numId="40">
    <w:abstractNumId w:val="34"/>
  </w:num>
  <w:num w:numId="41">
    <w:abstractNumId w:val="0"/>
  </w:num>
  <w:num w:numId="42">
    <w:abstractNumId w:val="41"/>
  </w:num>
  <w:num w:numId="43">
    <w:abstractNumId w:val="11"/>
  </w:num>
  <w:num w:numId="44">
    <w:abstractNumId w:val="48"/>
  </w:num>
  <w:num w:numId="45">
    <w:abstractNumId w:val="3"/>
  </w:num>
  <w:num w:numId="46">
    <w:abstractNumId w:val="24"/>
  </w:num>
  <w:num w:numId="47">
    <w:abstractNumId w:val="15"/>
  </w:num>
  <w:num w:numId="48">
    <w:abstractNumId w:val="50"/>
  </w:num>
  <w:num w:numId="49">
    <w:abstractNumId w:val="47"/>
  </w:num>
  <w:num w:numId="50">
    <w:abstractNumId w:val="33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29"/>
  </w:num>
  <w:num w:numId="54">
    <w:abstractNumId w:val="20"/>
  </w:num>
  <w:num w:numId="55">
    <w:abstractNumId w:val="4"/>
  </w:num>
  <w:num w:numId="56">
    <w:abstractNumId w:val="40"/>
  </w:num>
  <w:num w:numId="57">
    <w:abstractNumId w:val="16"/>
  </w:num>
  <w:num w:numId="58">
    <w:abstractNumId w:val="6"/>
  </w:num>
  <w:num w:numId="59">
    <w:abstractNumId w:val="35"/>
  </w:num>
  <w:num w:numId="60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17A2"/>
    <w:rsid w:val="00076126"/>
    <w:rsid w:val="00076B04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3C00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75F0C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3C"/>
    <w:rsid w:val="001E4D41"/>
    <w:rsid w:val="001E7BB4"/>
    <w:rsid w:val="001F4EEA"/>
    <w:rsid w:val="001F5046"/>
    <w:rsid w:val="001F55C2"/>
    <w:rsid w:val="001F613F"/>
    <w:rsid w:val="00201005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1826"/>
    <w:rsid w:val="00287AA2"/>
    <w:rsid w:val="002958D3"/>
    <w:rsid w:val="002A230D"/>
    <w:rsid w:val="002A3F43"/>
    <w:rsid w:val="002B2BF5"/>
    <w:rsid w:val="002B379A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57EC2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3FBC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0FB3"/>
    <w:rsid w:val="004F7C42"/>
    <w:rsid w:val="00501483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642C5"/>
    <w:rsid w:val="0056477D"/>
    <w:rsid w:val="00576313"/>
    <w:rsid w:val="00590003"/>
    <w:rsid w:val="005946BD"/>
    <w:rsid w:val="00595357"/>
    <w:rsid w:val="00596035"/>
    <w:rsid w:val="005A3505"/>
    <w:rsid w:val="005A54D2"/>
    <w:rsid w:val="005A6294"/>
    <w:rsid w:val="005B1F36"/>
    <w:rsid w:val="005B5A31"/>
    <w:rsid w:val="005E28AD"/>
    <w:rsid w:val="005F5310"/>
    <w:rsid w:val="00606CD7"/>
    <w:rsid w:val="0062041C"/>
    <w:rsid w:val="006273D1"/>
    <w:rsid w:val="00627E46"/>
    <w:rsid w:val="00640DE2"/>
    <w:rsid w:val="00642883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764"/>
    <w:rsid w:val="00734D69"/>
    <w:rsid w:val="00740042"/>
    <w:rsid w:val="00741B06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0685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242A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49DE"/>
    <w:rsid w:val="009A58C6"/>
    <w:rsid w:val="009A6292"/>
    <w:rsid w:val="009B4A33"/>
    <w:rsid w:val="009B677C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94AD2"/>
    <w:rsid w:val="00AA68AF"/>
    <w:rsid w:val="00AB3E07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2759B"/>
    <w:rsid w:val="00B3084B"/>
    <w:rsid w:val="00B47915"/>
    <w:rsid w:val="00B515E5"/>
    <w:rsid w:val="00B5725A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D3B94"/>
    <w:rsid w:val="00BE15F1"/>
    <w:rsid w:val="00BE1C92"/>
    <w:rsid w:val="00BF0EF3"/>
    <w:rsid w:val="00BF3A5D"/>
    <w:rsid w:val="00BF429D"/>
    <w:rsid w:val="00BF7DF7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572F9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65F2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45040"/>
    <w:rsid w:val="00D50D4C"/>
    <w:rsid w:val="00D50EE9"/>
    <w:rsid w:val="00D5655E"/>
    <w:rsid w:val="00D57A88"/>
    <w:rsid w:val="00D64D5E"/>
    <w:rsid w:val="00D72753"/>
    <w:rsid w:val="00D74603"/>
    <w:rsid w:val="00D8539B"/>
    <w:rsid w:val="00D87E5E"/>
    <w:rsid w:val="00D9185D"/>
    <w:rsid w:val="00D94E0F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154F1"/>
    <w:rsid w:val="00E15962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619A5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37386-87F9-47FE-9741-EB4B4CCC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Zagrai Kirill</cp:lastModifiedBy>
  <cp:revision>2</cp:revision>
  <cp:lastPrinted>2021-08-23T13:56:00Z</cp:lastPrinted>
  <dcterms:created xsi:type="dcterms:W3CDTF">2024-10-24T08:16:00Z</dcterms:created>
  <dcterms:modified xsi:type="dcterms:W3CDTF">2024-10-24T08:16:00Z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