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C0AF0" w:rsidRDefault="00E10DB1" w:rsidP="00FC0AF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FC0AF0" w:rsidRPr="0085060B">
        <w:rPr>
          <w:rFonts w:ascii="Times New Roman" w:eastAsia="Times New Roman" w:hAnsi="Times New Roman" w:cs="Times New Roman"/>
          <w:b/>
          <w:sz w:val="28"/>
          <w:szCs w:val="28"/>
        </w:rPr>
        <w:t>ПОСТАВК</w:t>
      </w:r>
      <w:r w:rsidR="00FC0AF0">
        <w:rPr>
          <w:rFonts w:ascii="Times New Roman" w:eastAsia="Times New Roman" w:hAnsi="Times New Roman" w:cs="Times New Roman"/>
          <w:b/>
          <w:sz w:val="28"/>
          <w:szCs w:val="28"/>
        </w:rPr>
        <w:t>У</w:t>
      </w:r>
      <w:r w:rsidR="00FC0AF0" w:rsidRPr="0085060B">
        <w:rPr>
          <w:rFonts w:ascii="Times New Roman" w:eastAsia="Times New Roman" w:hAnsi="Times New Roman" w:cs="Times New Roman"/>
          <w:b/>
          <w:sz w:val="28"/>
          <w:szCs w:val="28"/>
        </w:rPr>
        <w:t xml:space="preserve"> </w:t>
      </w:r>
      <w:r w:rsidR="005779EC" w:rsidRPr="005779EC">
        <w:rPr>
          <w:rFonts w:ascii="Times New Roman" w:eastAsia="Times New Roman" w:hAnsi="Times New Roman" w:cs="Times New Roman"/>
          <w:b/>
          <w:sz w:val="28"/>
          <w:szCs w:val="28"/>
        </w:rPr>
        <w:t>ЛИСТОВОГО М-ТА 2ММ ДЛЯ ПРОЕКТА №23900 ЗАКАЗ №01901 (МСЧ)</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тел. </w:t>
      </w:r>
      <w:r w:rsidR="00E503C8" w:rsidRPr="00C71634">
        <w:rPr>
          <w:rFonts w:ascii="Times New Roman" w:hAnsi="Times New Roman" w:cs="Times New Roman"/>
          <w:sz w:val="24"/>
          <w:szCs w:val="24"/>
        </w:rPr>
        <w:t>+</w:t>
      </w:r>
      <w:r w:rsidR="00E503C8">
        <w:rPr>
          <w:rFonts w:ascii="Times New Roman" w:hAnsi="Times New Roman" w:cs="Times New Roman"/>
          <w:sz w:val="24"/>
          <w:szCs w:val="24"/>
        </w:rPr>
        <w:t>7(365)613-71-58 (Шарафоненко Ирина Витальевна – по техническим вопросам)</w:t>
      </w:r>
    </w:p>
    <w:p w:rsidR="00E503C8" w:rsidRPr="00C71634" w:rsidRDefault="00E503C8" w:rsidP="009E5836">
      <w:pPr>
        <w:widowControl w:val="0"/>
        <w:tabs>
          <w:tab w:val="left" w:pos="142"/>
        </w:tabs>
        <w:autoSpaceDE w:val="0"/>
        <w:spacing w:after="0" w:line="240" w:lineRule="auto"/>
        <w:ind w:firstLine="567"/>
        <w:jc w:val="both"/>
        <w:rPr>
          <w:rFonts w:ascii="Times New Roman" w:hAnsi="Times New Roman" w:cs="Times New Roman"/>
          <w:sz w:val="24"/>
          <w:szCs w:val="24"/>
        </w:rPr>
      </w:pPr>
      <w:bookmarkStart w:id="0" w:name="_GoBack"/>
      <w:bookmarkEnd w:id="0"/>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 xml:space="preserve">оставка </w:t>
      </w:r>
      <w:r w:rsidR="005779EC" w:rsidRPr="005779EC">
        <w:rPr>
          <w:rFonts w:ascii="Times New Roman" w:hAnsi="Times New Roman" w:cs="Times New Roman"/>
          <w:sz w:val="24"/>
          <w:szCs w:val="24"/>
        </w:rPr>
        <w:t>листового м-та 2мм для проекта №23900 заказ №01901 (МСЧ)</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5C4CBB" w:rsidRPr="00C71634">
        <w:rPr>
          <w:rFonts w:eastAsia="Courier New"/>
          <w:b/>
          <w:spacing w:val="-4"/>
          <w:sz w:val="24"/>
          <w:szCs w:val="24"/>
        </w:rPr>
        <w:t xml:space="preserve"> </w:t>
      </w:r>
      <w:r w:rsidR="005779EC">
        <w:rPr>
          <w:rFonts w:eastAsia="Courier New"/>
          <w:spacing w:val="-4"/>
          <w:sz w:val="24"/>
          <w:szCs w:val="24"/>
        </w:rPr>
        <w:t xml:space="preserve">в течение </w:t>
      </w:r>
      <w:r w:rsidR="005779EC" w:rsidRPr="005779EC">
        <w:rPr>
          <w:rFonts w:eastAsia="Courier New"/>
          <w:spacing w:val="-4"/>
          <w:sz w:val="24"/>
          <w:szCs w:val="24"/>
        </w:rPr>
        <w:t>14 (четырнадцати) календарных дней с момента оплаты авансового платежа в размере 70%.</w:t>
      </w:r>
      <w:r w:rsidR="00AE40B5" w:rsidRPr="00C7163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склад Покупателя осуществляется 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5779EC">
        <w:rPr>
          <w:sz w:val="24"/>
          <w:szCs w:val="24"/>
        </w:rPr>
        <w:t xml:space="preserve">2 458 800,96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C71634"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091BC7" w:rsidRPr="00C71634" w:rsidRDefault="00AE40B5" w:rsidP="00AE40B5">
      <w:pPr>
        <w:tabs>
          <w:tab w:val="left" w:pos="-1800"/>
        </w:tabs>
        <w:spacing w:after="0" w:line="240" w:lineRule="auto"/>
        <w:jc w:val="both"/>
        <w:rPr>
          <w:rFonts w:ascii="Times New Roman" w:hAnsi="Times New Roman" w:cs="Times New Roman"/>
          <w:sz w:val="24"/>
          <w:szCs w:val="24"/>
          <w:highlight w:val="yellow"/>
        </w:rPr>
      </w:pPr>
      <w:r w:rsidRPr="00C71634">
        <w:rPr>
          <w:rFonts w:ascii="Times New Roman" w:hAnsi="Times New Roman" w:cs="Times New Roman"/>
          <w:sz w:val="24"/>
          <w:szCs w:val="24"/>
        </w:rPr>
        <w:t xml:space="preserve">          </w:t>
      </w:r>
      <w:r w:rsidR="009355FD" w:rsidRPr="00C71634">
        <w:rPr>
          <w:rFonts w:ascii="Times New Roman" w:hAnsi="Times New Roman" w:cs="Times New Roman"/>
          <w:sz w:val="24"/>
          <w:szCs w:val="24"/>
          <w:highlight w:val="yellow"/>
        </w:rPr>
        <w:t>В случае, если По</w:t>
      </w:r>
      <w:r w:rsidRPr="00C71634">
        <w:rPr>
          <w:rFonts w:ascii="Times New Roman" w:hAnsi="Times New Roman" w:cs="Times New Roman"/>
          <w:sz w:val="24"/>
          <w:szCs w:val="24"/>
          <w:highlight w:val="yellow"/>
        </w:rPr>
        <w:t>ставщик</w:t>
      </w:r>
      <w:r w:rsidR="009355FD"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Pr="00C71634">
        <w:rPr>
          <w:rFonts w:ascii="Times New Roman" w:hAnsi="Times New Roman" w:cs="Times New Roman"/>
          <w:sz w:val="24"/>
          <w:szCs w:val="24"/>
          <w:highlight w:val="yellow"/>
        </w:rPr>
        <w:t>ставщику</w:t>
      </w:r>
      <w:r w:rsidR="009355FD"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009355FD" w:rsidRPr="00C71634">
        <w:rPr>
          <w:rFonts w:ascii="Times New Roman" w:hAnsi="Times New Roman" w:cs="Times New Roman"/>
          <w:sz w:val="24"/>
          <w:szCs w:val="24"/>
          <w:highlight w:val="yellow"/>
        </w:rPr>
        <w:t>с</w:t>
      </w:r>
      <w:proofErr w:type="gramEnd"/>
      <w:r w:rsidR="009355FD" w:rsidRPr="00C71634">
        <w:rPr>
          <w:rFonts w:ascii="Times New Roman" w:hAnsi="Times New Roman" w:cs="Times New Roman"/>
          <w:sz w:val="24"/>
          <w:szCs w:val="24"/>
          <w:highlight w:val="yellow"/>
        </w:rPr>
        <w:t xml:space="preserve"> или без </w:t>
      </w:r>
      <w:r w:rsidRPr="00C71634">
        <w:rPr>
          <w:rFonts w:ascii="Times New Roman" w:hAnsi="Times New Roman" w:cs="Times New Roman"/>
          <w:sz w:val="24"/>
          <w:szCs w:val="24"/>
          <w:highlight w:val="yellow"/>
        </w:rPr>
        <w:t xml:space="preserve">банковской </w:t>
      </w:r>
      <w:r w:rsidR="009355FD"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5779EC">
        <w:rPr>
          <w:rFonts w:ascii="Times New Roman" w:hAnsi="Times New Roman" w:cs="Times New Roman"/>
          <w:sz w:val="24"/>
          <w:szCs w:val="24"/>
          <w:u w:val="single"/>
        </w:rPr>
        <w:t>09</w:t>
      </w:r>
      <w:r w:rsidR="00BA03CD" w:rsidRPr="00C71634">
        <w:rPr>
          <w:rFonts w:ascii="Times New Roman" w:hAnsi="Times New Roman" w:cs="Times New Roman"/>
          <w:sz w:val="24"/>
          <w:szCs w:val="24"/>
          <w:u w:val="single"/>
        </w:rPr>
        <w:t>.</w:t>
      </w:r>
      <w:r w:rsidR="005779E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5779EC">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E70B3E" w:rsidRPr="00C71634">
        <w:rPr>
          <w:rFonts w:ascii="Times New Roman" w:hAnsi="Times New Roman" w:cs="Times New Roman"/>
          <w:sz w:val="24"/>
          <w:szCs w:val="24"/>
          <w:u w:val="single"/>
        </w:rPr>
        <w:t>0</w:t>
      </w:r>
      <w:r w:rsidR="00903E35" w:rsidRPr="00C71634">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5779EC">
        <w:rPr>
          <w:rFonts w:ascii="Times New Roman" w:hAnsi="Times New Roman" w:cs="Times New Roman"/>
          <w:sz w:val="24"/>
          <w:szCs w:val="24"/>
          <w:u w:val="single"/>
        </w:rPr>
        <w:t>18</w:t>
      </w:r>
      <w:r w:rsidR="00CD6F1C" w:rsidRPr="00C71634">
        <w:rPr>
          <w:rFonts w:ascii="Times New Roman" w:hAnsi="Times New Roman" w:cs="Times New Roman"/>
          <w:sz w:val="24"/>
          <w:szCs w:val="24"/>
          <w:u w:val="single"/>
        </w:rPr>
        <w:t>.</w:t>
      </w:r>
      <w:r w:rsidR="005779EC">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5779EC">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5779EC">
              <w:rPr>
                <w:rFonts w:ascii="Times New Roman" w:hAnsi="Times New Roman" w:cs="Times New Roman"/>
                <w:sz w:val="24"/>
                <w:szCs w:val="24"/>
              </w:rPr>
              <w:t>09.10</w:t>
            </w:r>
            <w:r w:rsidR="00F654B1" w:rsidRPr="00C71634">
              <w:rPr>
                <w:rFonts w:ascii="Times New Roman" w:hAnsi="Times New Roman" w:cs="Times New Roman"/>
                <w:sz w:val="24"/>
                <w:szCs w:val="24"/>
              </w:rPr>
              <w:t>.2023</w:t>
            </w:r>
            <w:r w:rsidR="005779EC">
              <w:rPr>
                <w:rFonts w:ascii="Times New Roman" w:hAnsi="Times New Roman" w:cs="Times New Roman"/>
                <w:sz w:val="24"/>
                <w:szCs w:val="24"/>
              </w:rPr>
              <w:t xml:space="preserve"> 14</w:t>
            </w:r>
            <w:r w:rsidR="00701E8A" w:rsidRPr="00C71634">
              <w:rPr>
                <w:rFonts w:ascii="Times New Roman" w:hAnsi="Times New Roman" w:cs="Times New Roman"/>
                <w:sz w:val="24"/>
                <w:szCs w:val="24"/>
              </w:rPr>
              <w:t>:</w:t>
            </w:r>
            <w:r w:rsidR="00E70B3E" w:rsidRPr="00C71634">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5779EC">
              <w:rPr>
                <w:rFonts w:ascii="Times New Roman" w:hAnsi="Times New Roman" w:cs="Times New Roman"/>
                <w:sz w:val="24"/>
                <w:szCs w:val="24"/>
              </w:rPr>
              <w:t>18.10</w:t>
            </w:r>
            <w:r w:rsidR="00F654B1" w:rsidRPr="00C71634">
              <w:rPr>
                <w:rFonts w:ascii="Times New Roman" w:hAnsi="Times New Roman" w:cs="Times New Roman"/>
                <w:sz w:val="24"/>
                <w:szCs w:val="24"/>
              </w:rPr>
              <w:t>.2023</w:t>
            </w:r>
            <w:r w:rsidR="005779EC">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503C8"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E503C8"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503C8"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E503C8"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779EC">
        <w:rPr>
          <w:rFonts w:ascii="Times New Roman" w:hAnsi="Times New Roman" w:cs="Times New Roman"/>
          <w:sz w:val="24"/>
          <w:szCs w:val="24"/>
          <w:u w:val="single"/>
        </w:rPr>
        <w:t>15</w:t>
      </w:r>
      <w:r w:rsidR="00C64906" w:rsidRPr="00C71634">
        <w:rPr>
          <w:rFonts w:ascii="Times New Roman" w:hAnsi="Times New Roman" w:cs="Times New Roman"/>
          <w:sz w:val="24"/>
          <w:szCs w:val="24"/>
          <w:u w:val="single"/>
        </w:rPr>
        <w:t>.</w:t>
      </w:r>
      <w:r w:rsidR="005779EC">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w:t>
      </w:r>
      <w:r w:rsidR="005779EC">
        <w:rPr>
          <w:rFonts w:ascii="Times New Roman" w:hAnsi="Times New Roman" w:cs="Times New Roman"/>
          <w:b/>
          <w:bCs/>
          <w:sz w:val="24"/>
          <w:szCs w:val="24"/>
          <w:highlight w:val="green"/>
          <w:lang w:bidi="ru-RU"/>
        </w:rPr>
        <w:t>обязательно!</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AE40B5">
        <w:rPr>
          <w:rFonts w:ascii="Times New Roman" w:hAnsi="Times New Roman" w:cs="Times New Roman"/>
          <w:b/>
          <w:sz w:val="24"/>
          <w:szCs w:val="24"/>
          <w:highlight w:val="green"/>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779E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в течение 10</w:t>
      </w:r>
      <w:r w:rsidR="00903E35">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десяти) </w:t>
      </w:r>
      <w:r w:rsidR="005779EC">
        <w:rPr>
          <w:rFonts w:ascii="Times New Roman" w:eastAsia="DejaVu Sans" w:hAnsi="Times New Roman" w:cs="Times New Roman"/>
          <w:sz w:val="24"/>
          <w:szCs w:val="24"/>
        </w:rPr>
        <w:t>рабочих</w:t>
      </w:r>
      <w:r w:rsidR="00903E35">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779EC">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5779EC">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04E48">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Во втором случае участники закупки, которые допущены Комиссией к дальнейшему участию, приглашаются в единый телефонный 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7</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17</w:t>
      </w:r>
      <w:r w:rsidR="00F6642F">
        <w:rPr>
          <w:rFonts w:ascii="Times New Roman" w:hAnsi="Times New Roman" w:cs="Times New Roman"/>
          <w:sz w:val="24"/>
          <w:szCs w:val="24"/>
        </w:rPr>
        <w:t>.8</w:t>
      </w:r>
      <w:r w:rsidR="007B245A" w:rsidRPr="00E12402">
        <w:rPr>
          <w:rFonts w:ascii="Times New Roman" w:hAnsi="Times New Roman" w:cs="Times New Roman"/>
          <w:sz w:val="24"/>
          <w:szCs w:val="24"/>
        </w:rPr>
        <w:t xml:space="preserve">. </w:t>
      </w:r>
      <w:r w:rsidR="00FD2155">
        <w:rPr>
          <w:rFonts w:ascii="Times New Roman" w:hAnsi="Times New Roman" w:cs="Times New Roman"/>
          <w:sz w:val="24"/>
          <w:szCs w:val="24"/>
        </w:rPr>
        <w:t xml:space="preserve">После проведения переторжки победителем признается участник, </w:t>
      </w:r>
      <w:r w:rsidR="00660E38">
        <w:rPr>
          <w:rFonts w:ascii="Times New Roman" w:hAnsi="Times New Roman" w:cs="Times New Roman"/>
          <w:sz w:val="24"/>
          <w:szCs w:val="24"/>
        </w:rPr>
        <w:t>предложивший наилучшие условия по цене.</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xml:space="preserve">. По результатам рассмотрения заявок на участие в запросе котировок, Комиссия имеет </w:t>
      </w:r>
      <w:r w:rsidR="00EA6E42" w:rsidRPr="00C71634">
        <w:rPr>
          <w:rFonts w:ascii="Times New Roman" w:hAnsi="Times New Roman" w:cs="Times New Roman"/>
          <w:sz w:val="24"/>
          <w:szCs w:val="24"/>
        </w:rPr>
        <w:lastRenderedPageBreak/>
        <w:t>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w:t>
      </w:r>
      <w:r w:rsidRPr="00C71634">
        <w:rPr>
          <w:rFonts w:ascii="Times New Roman" w:eastAsia="Times New Roman" w:hAnsi="Times New Roman"/>
          <w:bCs/>
          <w:i/>
          <w:lang w:eastAsia="ru-RU"/>
        </w:rPr>
        <w:t>котировок</w:t>
      </w:r>
      <w:r w:rsidRPr="00C71634">
        <w:rPr>
          <w:rFonts w:ascii="Times New Roman" w:eastAsia="Times New Roman" w:hAnsi="Times New Roman"/>
          <w:bCs/>
          <w:i/>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19.5.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8832CA">
      <w:pPr>
        <w:widowControl w:val="0"/>
        <w:tabs>
          <w:tab w:val="left" w:pos="142"/>
        </w:tabs>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832CA" w:rsidRPr="00C71634" w:rsidRDefault="008832CA" w:rsidP="009C4B4A">
      <w:pPr>
        <w:widowControl w:val="0"/>
        <w:tabs>
          <w:tab w:val="left" w:pos="142"/>
        </w:tabs>
        <w:autoSpaceDE w:val="0"/>
        <w:spacing w:after="0" w:line="240" w:lineRule="auto"/>
        <w:rPr>
          <w:rFonts w:ascii="Times New Roman" w:hAnsi="Times New Roman" w:cs="Times New Roman"/>
          <w:sz w:val="24"/>
          <w:szCs w:val="24"/>
        </w:rPr>
      </w:pPr>
    </w:p>
    <w:p w:rsidR="00DA0D2C" w:rsidRPr="00C71634" w:rsidRDefault="009C4B4A" w:rsidP="009C4B4A">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F1670A" w:rsidRPr="00C71634" w:rsidRDefault="00F1670A" w:rsidP="00F1670A">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2003"/>
      </w:tblGrid>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 </w:t>
            </w:r>
            <w:proofErr w:type="spellStart"/>
            <w:r w:rsidRPr="00C71634">
              <w:rPr>
                <w:rFonts w:ascii="Times New Roman" w:hAnsi="Times New Roman"/>
              </w:rPr>
              <w:t>п.п</w:t>
            </w:r>
            <w:proofErr w:type="spellEnd"/>
            <w:r w:rsidRPr="00C71634">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2</w:t>
            </w:r>
          </w:p>
        </w:tc>
        <w:tc>
          <w:tcPr>
            <w:tcW w:w="2003"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Поставщик 3</w:t>
            </w:r>
          </w:p>
        </w:tc>
      </w:tr>
      <w:tr w:rsidR="00C71634" w:rsidRPr="00C71634" w:rsidTr="009C4B4A">
        <w:trPr>
          <w:trHeight w:val="293"/>
        </w:trPr>
        <w:tc>
          <w:tcPr>
            <w:tcW w:w="911"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F1670A">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xml:space="preserve">Цена договора по результатам </w:t>
            </w:r>
            <w:proofErr w:type="gramStart"/>
            <w:r w:rsidRPr="00C71634">
              <w:rPr>
                <w:rFonts w:ascii="Times New Roman" w:hAnsi="Times New Roman"/>
              </w:rPr>
              <w:t>проведенной</w:t>
            </w:r>
            <w:proofErr w:type="gramEnd"/>
            <w:r w:rsidRPr="00C71634">
              <w:rPr>
                <w:rFonts w:ascii="Times New Roman" w:hAnsi="Times New Roman"/>
              </w:rPr>
              <w:t xml:space="preserve">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43</w:t>
            </w: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Условия оплаты по результатам проведенной ЗК:</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оплата по факту поставки;</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- 30%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-50% предоплата;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-100% предоплата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w:t>
            </w: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7</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vAlign w:val="center"/>
          </w:tcPr>
          <w:p w:rsidR="00F1670A" w:rsidRPr="00C71634" w:rsidRDefault="00F1670A" w:rsidP="00660E38">
            <w:pPr>
              <w:tabs>
                <w:tab w:val="left" w:pos="231"/>
              </w:tabs>
              <w:spacing w:line="216" w:lineRule="auto"/>
              <w:ind w:right="142"/>
              <w:jc w:val="center"/>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Срок поставки по результатам проведенной ЗК:</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согласно ТЗ;</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10%;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20%;</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Статус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производитель;</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-официальный дилер;</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-дистрибьютер</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32</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25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Стаж сотрудничества (благонадежность поставщика):</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более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от 1 года до 3 лет;</w:t>
            </w: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3</w:t>
            </w: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r w:rsidR="00C71634" w:rsidRPr="00C71634" w:rsidTr="009C4B4A">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p w:rsidR="00F1670A" w:rsidRPr="00C71634" w:rsidRDefault="00F1670A" w:rsidP="00660E38">
            <w:pPr>
              <w:tabs>
                <w:tab w:val="left" w:pos="231"/>
              </w:tabs>
              <w:spacing w:line="216" w:lineRule="auto"/>
              <w:ind w:right="142"/>
              <w:jc w:val="both"/>
              <w:rPr>
                <w:rFonts w:ascii="Times New Roman" w:hAnsi="Times New Roman"/>
              </w:rPr>
            </w:pPr>
            <w:r w:rsidRPr="00C71634">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center"/>
              <w:rPr>
                <w:rFonts w:ascii="Times New Roman" w:hAnsi="Times New Roman"/>
              </w:rPr>
            </w:pPr>
          </w:p>
          <w:p w:rsidR="00F1670A" w:rsidRPr="00C71634" w:rsidRDefault="00F1670A" w:rsidP="00660E38">
            <w:pPr>
              <w:tabs>
                <w:tab w:val="left" w:pos="231"/>
              </w:tabs>
              <w:spacing w:line="216" w:lineRule="auto"/>
              <w:ind w:right="142"/>
              <w:jc w:val="center"/>
              <w:rPr>
                <w:rFonts w:ascii="Times New Roman" w:hAnsi="Times New Roman"/>
              </w:rPr>
            </w:pPr>
            <w:r w:rsidRPr="00C71634">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c>
          <w:tcPr>
            <w:tcW w:w="2003" w:type="dxa"/>
            <w:tcBorders>
              <w:top w:val="single" w:sz="4" w:space="0" w:color="auto"/>
              <w:left w:val="single" w:sz="4" w:space="0" w:color="auto"/>
              <w:bottom w:val="single" w:sz="4" w:space="0" w:color="auto"/>
              <w:right w:val="single" w:sz="4" w:space="0" w:color="auto"/>
            </w:tcBorders>
          </w:tcPr>
          <w:p w:rsidR="00F1670A" w:rsidRPr="00C71634" w:rsidRDefault="00F1670A" w:rsidP="00660E38">
            <w:pPr>
              <w:tabs>
                <w:tab w:val="left" w:pos="231"/>
              </w:tabs>
              <w:spacing w:line="216" w:lineRule="auto"/>
              <w:ind w:right="142"/>
              <w:jc w:val="both"/>
              <w:rPr>
                <w:rFonts w:ascii="Times New Roman" w:hAnsi="Times New Roman"/>
              </w:rPr>
            </w:pPr>
          </w:p>
        </w:tc>
      </w:tr>
    </w:tbl>
    <w:p w:rsidR="00F1670A" w:rsidRPr="00C71634" w:rsidRDefault="00F1670A" w:rsidP="00F1670A">
      <w:pPr>
        <w:tabs>
          <w:tab w:val="left" w:pos="231"/>
        </w:tabs>
        <w:spacing w:line="190" w:lineRule="exact"/>
        <w:ind w:left="-142" w:right="142" w:firstLine="426"/>
        <w:jc w:val="both"/>
      </w:pP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F1670A" w:rsidRPr="00C71634" w:rsidRDefault="00F1670A" w:rsidP="00F1670A">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50B99" w:rsidRDefault="00550B9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A7283C" w:rsidRPr="00776E14" w:rsidRDefault="00A7283C" w:rsidP="00A7283C">
      <w:pPr>
        <w:spacing w:after="0" w:line="240" w:lineRule="auto"/>
        <w:jc w:val="center"/>
        <w:rPr>
          <w:rFonts w:ascii="Times New Roman" w:hAnsi="Times New Roman"/>
          <w:b/>
        </w:rPr>
      </w:pPr>
      <w:r w:rsidRPr="00776E14">
        <w:rPr>
          <w:rFonts w:ascii="Times New Roman" w:hAnsi="Times New Roman"/>
          <w:b/>
        </w:rPr>
        <w:t>Техническое задание</w:t>
      </w:r>
    </w:p>
    <w:p w:rsidR="005779EC" w:rsidRDefault="005779EC" w:rsidP="005779EC">
      <w:pPr>
        <w:spacing w:after="0" w:line="240" w:lineRule="auto"/>
        <w:jc w:val="center"/>
        <w:rPr>
          <w:rFonts w:ascii="Times New Roman" w:hAnsi="Times New Roman"/>
          <w:b/>
        </w:rPr>
      </w:pPr>
      <w:proofErr w:type="gramStart"/>
      <w:r w:rsidRPr="00666BFE">
        <w:rPr>
          <w:rFonts w:ascii="Times New Roman" w:hAnsi="Times New Roman"/>
          <w:b/>
        </w:rPr>
        <w:t>на приобретение</w:t>
      </w:r>
      <w:r>
        <w:rPr>
          <w:rFonts w:ascii="Times New Roman" w:hAnsi="Times New Roman"/>
          <w:b/>
        </w:rPr>
        <w:t xml:space="preserve"> листового м-та 2мм </w:t>
      </w:r>
      <w:r w:rsidRPr="00666BFE">
        <w:rPr>
          <w:rFonts w:ascii="Times New Roman" w:hAnsi="Times New Roman"/>
          <w:b/>
        </w:rPr>
        <w:t>для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 (МСЧ)</w:t>
      </w:r>
      <w:proofErr w:type="gramEnd"/>
    </w:p>
    <w:p w:rsidR="005779EC" w:rsidRDefault="005779EC" w:rsidP="005779EC">
      <w:pPr>
        <w:pStyle w:val="af5"/>
        <w:spacing w:after="0" w:line="240" w:lineRule="auto"/>
        <w:ind w:left="0" w:firstLine="567"/>
        <w:jc w:val="both"/>
        <w:rPr>
          <w:rFonts w:ascii="Times New Roman" w:hAnsi="Times New Roman"/>
          <w:b/>
        </w:rPr>
      </w:pPr>
    </w:p>
    <w:p w:rsidR="005779EC" w:rsidRPr="00F26E54" w:rsidRDefault="005779EC" w:rsidP="005779EC">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5779EC" w:rsidRDefault="005779EC" w:rsidP="005779EC">
      <w:pPr>
        <w:spacing w:after="0" w:line="240" w:lineRule="auto"/>
        <w:ind w:firstLine="567"/>
        <w:contextualSpacing/>
        <w:rPr>
          <w:rFonts w:ascii="Times New Roman" w:hAnsi="Times New Roman"/>
          <w:sz w:val="24"/>
          <w:szCs w:val="24"/>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листового металлопроката 2мм  для МСЧ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 оборонного заказа по Контракту № ГК 202818730</w:t>
      </w:r>
      <w:r>
        <w:rPr>
          <w:rFonts w:ascii="Times New Roman" w:hAnsi="Times New Roman"/>
          <w:sz w:val="24"/>
          <w:szCs w:val="24"/>
        </w:rPr>
        <w:t>1931452209002843/901-20-ОКР/5904</w:t>
      </w:r>
      <w:r w:rsidRPr="006F6E4C">
        <w:rPr>
          <w:rFonts w:ascii="Times New Roman" w:hAnsi="Times New Roman"/>
          <w:sz w:val="24"/>
          <w:szCs w:val="24"/>
        </w:rPr>
        <w:t xml:space="preserve"> от 14.08.2020 г.,  заключенного во и</w:t>
      </w:r>
      <w:r w:rsidRPr="006F6E4C">
        <w:rPr>
          <w:rFonts w:ascii="Times New Roman" w:hAnsi="Times New Roman"/>
          <w:sz w:val="24"/>
          <w:szCs w:val="24"/>
        </w:rPr>
        <w:t>с</w:t>
      </w:r>
      <w:r w:rsidRPr="006F6E4C">
        <w:rPr>
          <w:rFonts w:ascii="Times New Roman" w:hAnsi="Times New Roman"/>
          <w:sz w:val="24"/>
          <w:szCs w:val="24"/>
        </w:rPr>
        <w:t>полнение  Государственного контракта № 2028187301931452209002843</w:t>
      </w:r>
      <w:r>
        <w:rPr>
          <w:rFonts w:ascii="Times New Roman" w:hAnsi="Times New Roman"/>
          <w:sz w:val="24"/>
          <w:szCs w:val="24"/>
        </w:rPr>
        <w:t xml:space="preserve"> от 25.05.2020г (присвоен ИГК</w:t>
      </w:r>
      <w:r w:rsidRPr="006F6E4C">
        <w:rPr>
          <w:rFonts w:ascii="Times New Roman" w:hAnsi="Times New Roman"/>
          <w:sz w:val="24"/>
          <w:szCs w:val="24"/>
        </w:rPr>
        <w:t>2028187301931452209002843)</w:t>
      </w:r>
      <w:r>
        <w:rPr>
          <w:rFonts w:ascii="Times New Roman" w:hAnsi="Times New Roman"/>
          <w:sz w:val="24"/>
          <w:szCs w:val="24"/>
        </w:rPr>
        <w:t>.</w:t>
      </w:r>
    </w:p>
    <w:p w:rsidR="005779EC" w:rsidRPr="00666BFE" w:rsidRDefault="005779EC" w:rsidP="005779EC">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5779EC" w:rsidRPr="00666BFE" w:rsidRDefault="005779EC" w:rsidP="005779EC">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5779EC" w:rsidRPr="00666BFE" w:rsidRDefault="005779EC" w:rsidP="005779EC">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779EC" w:rsidRDefault="005779EC" w:rsidP="005779EC">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5779EC" w:rsidRPr="005E294B" w:rsidRDefault="005779EC" w:rsidP="005779EC">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5779EC" w:rsidRDefault="005779EC" w:rsidP="005779EC">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954"/>
        <w:gridCol w:w="4061"/>
        <w:gridCol w:w="1008"/>
        <w:gridCol w:w="1392"/>
        <w:gridCol w:w="1745"/>
        <w:gridCol w:w="1544"/>
      </w:tblGrid>
      <w:tr w:rsidR="005779EC" w:rsidRPr="00EA329F" w:rsidTr="00F16402">
        <w:trPr>
          <w:trHeight w:val="300"/>
        </w:trPr>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 П/</w:t>
            </w:r>
            <w:proofErr w:type="gramStart"/>
            <w:r w:rsidRPr="00EA329F">
              <w:rPr>
                <w:rFonts w:ascii="Times New Roman" w:eastAsia="Times New Roman" w:hAnsi="Times New Roman"/>
                <w:b/>
                <w:bCs/>
                <w:color w:val="000000"/>
                <w:lang w:eastAsia="ru-RU"/>
              </w:rPr>
              <w:t>п</w:t>
            </w:r>
            <w:proofErr w:type="gramEnd"/>
          </w:p>
        </w:tc>
        <w:tc>
          <w:tcPr>
            <w:tcW w:w="1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Наименование</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Ед. изм.</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Кол-во</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Цена с НДС, руб. за 1 ед. изм.</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Сумма с  НДС, руб.</w:t>
            </w:r>
          </w:p>
        </w:tc>
      </w:tr>
      <w:tr w:rsidR="005779EC" w:rsidRPr="00EA329F" w:rsidTr="00F16402">
        <w:trPr>
          <w:trHeight w:val="630"/>
        </w:trPr>
        <w:tc>
          <w:tcPr>
            <w:tcW w:w="446" w:type="pct"/>
            <w:vMerge/>
            <w:tcBorders>
              <w:top w:val="single" w:sz="4" w:space="0" w:color="auto"/>
              <w:left w:val="single" w:sz="4" w:space="0" w:color="auto"/>
              <w:bottom w:val="single" w:sz="4" w:space="0" w:color="auto"/>
              <w:right w:val="single" w:sz="4" w:space="0" w:color="auto"/>
            </w:tcBorders>
            <w:vAlign w:val="center"/>
            <w:hideMark/>
          </w:tcPr>
          <w:p w:rsidR="005779EC" w:rsidRPr="00EA329F" w:rsidRDefault="005779EC" w:rsidP="00F16402">
            <w:pPr>
              <w:spacing w:after="0" w:line="240" w:lineRule="auto"/>
              <w:rPr>
                <w:rFonts w:ascii="Times New Roman" w:eastAsia="Times New Roman" w:hAnsi="Times New Roman"/>
                <w:b/>
                <w:bCs/>
                <w:color w:val="000000"/>
                <w:lang w:eastAsia="ru-RU"/>
              </w:rPr>
            </w:pPr>
          </w:p>
        </w:tc>
        <w:tc>
          <w:tcPr>
            <w:tcW w:w="1897" w:type="pct"/>
            <w:vMerge/>
            <w:tcBorders>
              <w:top w:val="single" w:sz="4" w:space="0" w:color="auto"/>
              <w:left w:val="single" w:sz="4" w:space="0" w:color="auto"/>
              <w:bottom w:val="single" w:sz="4" w:space="0" w:color="auto"/>
              <w:right w:val="single" w:sz="4" w:space="0" w:color="auto"/>
            </w:tcBorders>
            <w:vAlign w:val="center"/>
            <w:hideMark/>
          </w:tcPr>
          <w:p w:rsidR="005779EC" w:rsidRPr="00EA329F" w:rsidRDefault="005779EC" w:rsidP="00F16402">
            <w:pPr>
              <w:spacing w:after="0" w:line="240" w:lineRule="auto"/>
              <w:rPr>
                <w:rFonts w:ascii="Times New Roman" w:eastAsia="Times New Roman" w:hAnsi="Times New Roman"/>
                <w:b/>
                <w:bCs/>
                <w:color w:val="000000"/>
                <w:lang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5779EC" w:rsidRPr="00EA329F" w:rsidRDefault="005779EC" w:rsidP="00F16402">
            <w:pPr>
              <w:spacing w:after="0" w:line="240" w:lineRule="auto"/>
              <w:rPr>
                <w:rFonts w:ascii="Times New Roman" w:eastAsia="Times New Roman" w:hAnsi="Times New Roman"/>
                <w:b/>
                <w:bCs/>
                <w:color w:val="000000"/>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5779EC" w:rsidRPr="00EA329F" w:rsidRDefault="005779EC" w:rsidP="00F16402">
            <w:pPr>
              <w:spacing w:after="0" w:line="240" w:lineRule="auto"/>
              <w:rPr>
                <w:rFonts w:ascii="Times New Roman" w:eastAsia="Times New Roman" w:hAnsi="Times New Roman"/>
                <w:b/>
                <w:bCs/>
                <w:color w:val="000000"/>
                <w:lang w:eastAsia="ru-RU"/>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5779EC" w:rsidRPr="00EA329F" w:rsidRDefault="005779EC" w:rsidP="00F16402">
            <w:pPr>
              <w:spacing w:after="0" w:line="240" w:lineRule="auto"/>
              <w:rPr>
                <w:rFonts w:ascii="Times New Roman" w:eastAsia="Times New Roman" w:hAnsi="Times New Roman"/>
                <w:b/>
                <w:bCs/>
                <w:color w:val="000000"/>
                <w:lang w:eastAsia="ru-RU"/>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rsidR="005779EC" w:rsidRPr="00EA329F" w:rsidRDefault="005779EC" w:rsidP="00F16402">
            <w:pPr>
              <w:spacing w:after="0" w:line="240" w:lineRule="auto"/>
              <w:rPr>
                <w:rFonts w:ascii="Times New Roman" w:eastAsia="Times New Roman" w:hAnsi="Times New Roman"/>
                <w:b/>
                <w:bCs/>
                <w:color w:val="000000"/>
                <w:lang w:eastAsia="ru-RU"/>
              </w:rPr>
            </w:pPr>
          </w:p>
        </w:tc>
      </w:tr>
      <w:tr w:rsidR="005779EC" w:rsidRPr="00EA329F" w:rsidTr="00F16402">
        <w:trPr>
          <w:trHeight w:val="60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rsidR="005779EC" w:rsidRPr="00EA329F" w:rsidRDefault="005779EC" w:rsidP="00F16402">
            <w:pPr>
              <w:spacing w:after="0" w:line="240" w:lineRule="auto"/>
              <w:jc w:val="right"/>
              <w:rPr>
                <w:rFonts w:ascii="Times New Roman" w:eastAsia="Times New Roman" w:hAnsi="Times New Roman"/>
                <w:color w:val="000000"/>
                <w:lang w:eastAsia="ru-RU"/>
              </w:rPr>
            </w:pPr>
            <w:r w:rsidRPr="00EA329F">
              <w:rPr>
                <w:rFonts w:ascii="Times New Roman" w:eastAsia="Times New Roman" w:hAnsi="Times New Roman"/>
                <w:color w:val="000000"/>
                <w:lang w:eastAsia="ru-RU"/>
              </w:rPr>
              <w:t>1</w:t>
            </w:r>
          </w:p>
        </w:tc>
        <w:tc>
          <w:tcPr>
            <w:tcW w:w="1897"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Лист 2х1250х25</w:t>
            </w:r>
            <w:r w:rsidRPr="00EA329F">
              <w:rPr>
                <w:rFonts w:ascii="Times New Roman" w:eastAsia="Times New Roman" w:hAnsi="Times New Roman"/>
                <w:color w:val="000000"/>
                <w:lang w:eastAsia="ru-RU"/>
              </w:rPr>
              <w:t>00</w:t>
            </w:r>
            <w:r>
              <w:rPr>
                <w:rFonts w:ascii="Times New Roman" w:eastAsia="Times New Roman" w:hAnsi="Times New Roman"/>
                <w:color w:val="000000"/>
                <w:lang w:eastAsia="ru-RU"/>
              </w:rPr>
              <w:t xml:space="preserve"> (1000х2000)</w:t>
            </w:r>
            <w:r w:rsidRPr="00EA329F">
              <w:rPr>
                <w:rFonts w:ascii="Times New Roman" w:eastAsia="Times New Roman" w:hAnsi="Times New Roman"/>
                <w:color w:val="000000"/>
                <w:lang w:eastAsia="ru-RU"/>
              </w:rPr>
              <w:t xml:space="preserve"> Ст3</w:t>
            </w:r>
            <w:r>
              <w:rPr>
                <w:rFonts w:ascii="Times New Roman" w:eastAsia="Times New Roman" w:hAnsi="Times New Roman"/>
                <w:color w:val="000000"/>
                <w:lang w:eastAsia="ru-RU"/>
              </w:rPr>
              <w:t>сп</w:t>
            </w:r>
            <w:r w:rsidRPr="00EA329F">
              <w:rPr>
                <w:rFonts w:ascii="Times New Roman" w:eastAsia="Times New Roman" w:hAnsi="Times New Roman"/>
                <w:color w:val="000000"/>
                <w:lang w:eastAsia="ru-RU"/>
              </w:rPr>
              <w:t xml:space="preserve"> ГОСТ 19903-2015</w:t>
            </w:r>
          </w:p>
        </w:tc>
        <w:tc>
          <w:tcPr>
            <w:tcW w:w="471"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тн</w:t>
            </w:r>
            <w:proofErr w:type="spellEnd"/>
          </w:p>
        </w:tc>
        <w:tc>
          <w:tcPr>
            <w:tcW w:w="650"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24,087</w:t>
            </w:r>
          </w:p>
        </w:tc>
        <w:tc>
          <w:tcPr>
            <w:tcW w:w="815"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102 080,00</w:t>
            </w:r>
          </w:p>
        </w:tc>
        <w:tc>
          <w:tcPr>
            <w:tcW w:w="721"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2 458 800,96</w:t>
            </w:r>
          </w:p>
        </w:tc>
      </w:tr>
      <w:tr w:rsidR="005779EC" w:rsidRPr="00EA329F" w:rsidTr="00F16402">
        <w:trPr>
          <w:trHeight w:val="300"/>
        </w:trPr>
        <w:tc>
          <w:tcPr>
            <w:tcW w:w="346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9EC" w:rsidRPr="00EA329F" w:rsidRDefault="005779EC" w:rsidP="00F16402">
            <w:pPr>
              <w:spacing w:after="0" w:line="240" w:lineRule="auto"/>
              <w:rPr>
                <w:rFonts w:ascii="Times New Roman" w:eastAsia="Times New Roman" w:hAnsi="Times New Roman"/>
                <w:color w:val="000000"/>
                <w:lang w:eastAsia="ru-RU"/>
              </w:rPr>
            </w:pPr>
            <w:r w:rsidRPr="00EA329F">
              <w:rPr>
                <w:rFonts w:ascii="Times New Roman" w:eastAsia="Times New Roman" w:hAnsi="Times New Roman"/>
                <w:color w:val="000000"/>
                <w:lang w:eastAsia="ru-RU"/>
              </w:rPr>
              <w:t> </w:t>
            </w:r>
          </w:p>
        </w:tc>
        <w:tc>
          <w:tcPr>
            <w:tcW w:w="815"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right"/>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Итого с НДС</w:t>
            </w:r>
          </w:p>
        </w:tc>
        <w:tc>
          <w:tcPr>
            <w:tcW w:w="721"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color w:val="000000"/>
                <w:lang w:eastAsia="ru-RU"/>
              </w:rPr>
              <w:t>2 458 800,96</w:t>
            </w:r>
          </w:p>
        </w:tc>
      </w:tr>
      <w:tr w:rsidR="005779EC" w:rsidRPr="00EA329F" w:rsidTr="00F16402">
        <w:trPr>
          <w:trHeight w:val="570"/>
        </w:trPr>
        <w:tc>
          <w:tcPr>
            <w:tcW w:w="446" w:type="pct"/>
            <w:tcBorders>
              <w:top w:val="nil"/>
              <w:left w:val="nil"/>
              <w:bottom w:val="nil"/>
              <w:right w:val="nil"/>
            </w:tcBorders>
            <w:shd w:val="clear" w:color="auto" w:fill="auto"/>
            <w:noWrap/>
            <w:vAlign w:val="center"/>
            <w:hideMark/>
          </w:tcPr>
          <w:p w:rsidR="005779EC" w:rsidRPr="00EA329F" w:rsidRDefault="005779EC" w:rsidP="00F16402">
            <w:pPr>
              <w:spacing w:after="0" w:line="240" w:lineRule="auto"/>
              <w:rPr>
                <w:rFonts w:ascii="Times New Roman" w:eastAsia="Times New Roman" w:hAnsi="Times New Roman"/>
                <w:color w:val="000000"/>
                <w:lang w:eastAsia="ru-RU"/>
              </w:rPr>
            </w:pPr>
          </w:p>
        </w:tc>
        <w:tc>
          <w:tcPr>
            <w:tcW w:w="1897" w:type="pct"/>
            <w:tcBorders>
              <w:top w:val="nil"/>
              <w:left w:val="nil"/>
              <w:bottom w:val="nil"/>
              <w:right w:val="nil"/>
            </w:tcBorders>
            <w:shd w:val="clear" w:color="auto" w:fill="auto"/>
            <w:noWrap/>
            <w:vAlign w:val="center"/>
            <w:hideMark/>
          </w:tcPr>
          <w:p w:rsidR="005779EC" w:rsidRPr="00EA329F" w:rsidRDefault="005779EC" w:rsidP="00F16402">
            <w:pPr>
              <w:spacing w:after="0" w:line="240" w:lineRule="auto"/>
              <w:rPr>
                <w:rFonts w:ascii="Times New Roman" w:eastAsia="Times New Roman" w:hAnsi="Times New Roman"/>
                <w:color w:val="000000"/>
                <w:lang w:eastAsia="ru-RU"/>
              </w:rPr>
            </w:pPr>
          </w:p>
        </w:tc>
        <w:tc>
          <w:tcPr>
            <w:tcW w:w="471" w:type="pct"/>
            <w:tcBorders>
              <w:top w:val="nil"/>
              <w:left w:val="nil"/>
              <w:bottom w:val="nil"/>
              <w:right w:val="nil"/>
            </w:tcBorders>
            <w:shd w:val="clear" w:color="auto" w:fill="auto"/>
            <w:noWrap/>
            <w:vAlign w:val="center"/>
            <w:hideMark/>
          </w:tcPr>
          <w:p w:rsidR="005779EC" w:rsidRPr="00EA329F" w:rsidRDefault="005779EC" w:rsidP="00F16402">
            <w:pPr>
              <w:spacing w:after="0" w:line="240" w:lineRule="auto"/>
              <w:rPr>
                <w:rFonts w:ascii="Times New Roman" w:eastAsia="Times New Roman" w:hAnsi="Times New Roman"/>
                <w:color w:val="000000"/>
                <w:lang w:eastAsia="ru-RU"/>
              </w:rPr>
            </w:pPr>
          </w:p>
        </w:tc>
        <w:tc>
          <w:tcPr>
            <w:tcW w:w="650" w:type="pct"/>
            <w:tcBorders>
              <w:top w:val="nil"/>
              <w:left w:val="nil"/>
              <w:bottom w:val="nil"/>
              <w:right w:val="nil"/>
            </w:tcBorders>
            <w:shd w:val="clear" w:color="auto" w:fill="auto"/>
            <w:noWrap/>
            <w:vAlign w:val="center"/>
            <w:hideMark/>
          </w:tcPr>
          <w:p w:rsidR="005779EC" w:rsidRPr="00EA329F" w:rsidRDefault="005779EC" w:rsidP="00F16402">
            <w:pPr>
              <w:spacing w:after="0" w:line="240" w:lineRule="auto"/>
              <w:rPr>
                <w:rFonts w:ascii="Times New Roman" w:eastAsia="Times New Roman" w:hAnsi="Times New Roman"/>
                <w:color w:val="000000"/>
                <w:lang w:eastAsia="ru-RU"/>
              </w:rPr>
            </w:pPr>
          </w:p>
        </w:tc>
        <w:tc>
          <w:tcPr>
            <w:tcW w:w="815" w:type="pct"/>
            <w:tcBorders>
              <w:top w:val="nil"/>
              <w:left w:val="single" w:sz="4" w:space="0" w:color="auto"/>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right"/>
              <w:rPr>
                <w:rFonts w:ascii="Times New Roman" w:eastAsia="Times New Roman" w:hAnsi="Times New Roman"/>
                <w:b/>
                <w:bCs/>
                <w:color w:val="000000"/>
                <w:lang w:eastAsia="ru-RU"/>
              </w:rPr>
            </w:pPr>
            <w:r w:rsidRPr="00EA329F">
              <w:rPr>
                <w:rFonts w:ascii="Times New Roman" w:eastAsia="Times New Roman" w:hAnsi="Times New Roman"/>
                <w:b/>
                <w:bCs/>
                <w:color w:val="000000"/>
                <w:lang w:eastAsia="ru-RU"/>
              </w:rPr>
              <w:t xml:space="preserve"> в том числе  НДС 20%</w:t>
            </w:r>
          </w:p>
        </w:tc>
        <w:tc>
          <w:tcPr>
            <w:tcW w:w="721" w:type="pct"/>
            <w:tcBorders>
              <w:top w:val="nil"/>
              <w:left w:val="nil"/>
              <w:bottom w:val="single" w:sz="4" w:space="0" w:color="auto"/>
              <w:right w:val="single" w:sz="4" w:space="0" w:color="auto"/>
            </w:tcBorders>
            <w:shd w:val="clear" w:color="auto" w:fill="auto"/>
            <w:vAlign w:val="center"/>
            <w:hideMark/>
          </w:tcPr>
          <w:p w:rsidR="005779EC" w:rsidRPr="00EA329F" w:rsidRDefault="005779EC" w:rsidP="00F16402">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409 800,16</w:t>
            </w:r>
          </w:p>
        </w:tc>
      </w:tr>
    </w:tbl>
    <w:p w:rsidR="005779EC" w:rsidRPr="005B58E2" w:rsidRDefault="005779EC" w:rsidP="005779EC">
      <w:pPr>
        <w:tabs>
          <w:tab w:val="left" w:pos="993"/>
        </w:tabs>
        <w:spacing w:after="0" w:line="240" w:lineRule="auto"/>
        <w:jc w:val="both"/>
        <w:rPr>
          <w:rFonts w:ascii="Times New Roman" w:hAnsi="Times New Roman"/>
          <w:b/>
        </w:rPr>
      </w:pPr>
    </w:p>
    <w:p w:rsidR="005779EC" w:rsidRPr="00666BFE" w:rsidRDefault="005779EC" w:rsidP="005779EC">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5779EC" w:rsidRPr="00666BFE" w:rsidRDefault="005779EC" w:rsidP="005779EC">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779EC" w:rsidRPr="00666BFE" w:rsidRDefault="005779EC" w:rsidP="005779E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779EC" w:rsidRDefault="005779EC" w:rsidP="005779EC">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5779EC" w:rsidRPr="00666BFE" w:rsidRDefault="005779EC" w:rsidP="005779EC">
      <w:pPr>
        <w:spacing w:line="240" w:lineRule="auto"/>
        <w:ind w:firstLine="567"/>
        <w:contextualSpacing/>
        <w:jc w:val="both"/>
        <w:rPr>
          <w:rFonts w:ascii="Times New Roman" w:hAnsi="Times New Roman"/>
          <w:lang w:eastAsia="ru-RU"/>
        </w:rPr>
      </w:pPr>
    </w:p>
    <w:p w:rsidR="005779EC" w:rsidRPr="00666BFE" w:rsidRDefault="005779EC" w:rsidP="005779E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779EC" w:rsidRPr="00666BFE" w:rsidRDefault="005779EC" w:rsidP="005779EC">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xml:space="preserve">) рабочих дней, либо вернуть все денежные средства, полученные в счет оплаты Товара, в течение 10 (десяти) рабочих дней с даты получения </w:t>
      </w:r>
      <w:r w:rsidRPr="00666BFE">
        <w:rPr>
          <w:rFonts w:ascii="Times New Roman" w:hAnsi="Times New Roman"/>
          <w:color w:val="000000"/>
        </w:rPr>
        <w:lastRenderedPageBreak/>
        <w:t>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5779EC" w:rsidRPr="00666BFE" w:rsidRDefault="005779EC" w:rsidP="005779E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5779EC" w:rsidRDefault="005779EC" w:rsidP="005779EC">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779EC" w:rsidRPr="00666BFE" w:rsidRDefault="005779EC" w:rsidP="005779EC">
      <w:pPr>
        <w:spacing w:line="240" w:lineRule="auto"/>
        <w:ind w:firstLine="567"/>
        <w:contextualSpacing/>
        <w:jc w:val="both"/>
        <w:rPr>
          <w:rFonts w:ascii="Times New Roman" w:hAnsi="Times New Roman"/>
        </w:rPr>
      </w:pPr>
    </w:p>
    <w:p w:rsidR="005779EC" w:rsidRPr="00666BFE" w:rsidRDefault="005779EC" w:rsidP="005779E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5779EC" w:rsidRDefault="005779EC" w:rsidP="005779EC">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w:t>
      </w:r>
      <w:r>
        <w:rPr>
          <w:rFonts w:ascii="Times New Roman" w:hAnsi="Times New Roman"/>
        </w:rPr>
        <w:t>в 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5779EC" w:rsidRPr="00666BFE" w:rsidRDefault="005779EC" w:rsidP="005779EC">
      <w:pPr>
        <w:spacing w:line="240" w:lineRule="auto"/>
        <w:ind w:firstLine="567"/>
        <w:contextualSpacing/>
        <w:jc w:val="both"/>
        <w:rPr>
          <w:rFonts w:ascii="Times New Roman" w:hAnsi="Times New Roman"/>
        </w:rPr>
      </w:pPr>
    </w:p>
    <w:p w:rsidR="005779EC" w:rsidRPr="00666BFE" w:rsidRDefault="005779EC" w:rsidP="005779EC">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5779EC" w:rsidRPr="00666BFE" w:rsidRDefault="005779EC" w:rsidP="005779E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5779EC" w:rsidRPr="00666BFE" w:rsidRDefault="005779EC" w:rsidP="005779E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5779EC" w:rsidRPr="00666BFE" w:rsidRDefault="005779EC" w:rsidP="005779EC">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5779EC" w:rsidRDefault="005779EC" w:rsidP="005779EC">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5779EC" w:rsidRPr="00666BFE" w:rsidRDefault="005779EC" w:rsidP="005779EC">
      <w:pPr>
        <w:tabs>
          <w:tab w:val="left" w:pos="993"/>
        </w:tabs>
        <w:spacing w:line="240" w:lineRule="auto"/>
        <w:ind w:firstLine="567"/>
        <w:contextualSpacing/>
        <w:jc w:val="both"/>
        <w:rPr>
          <w:rFonts w:ascii="Times New Roman" w:hAnsi="Times New Roman"/>
        </w:rPr>
      </w:pPr>
    </w:p>
    <w:p w:rsidR="005779EC" w:rsidRPr="00666BFE" w:rsidRDefault="005779EC" w:rsidP="005779EC">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5779EC" w:rsidRPr="00666BFE" w:rsidRDefault="005779EC" w:rsidP="005779E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5779EC" w:rsidRPr="00666BFE" w:rsidRDefault="005779EC" w:rsidP="005779EC">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779EC" w:rsidRPr="00666BFE" w:rsidRDefault="005779EC" w:rsidP="005779E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5779EC" w:rsidRPr="00666BFE" w:rsidRDefault="005779EC" w:rsidP="005779EC">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5779EC" w:rsidRPr="00666BFE" w:rsidRDefault="005779EC" w:rsidP="005779E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5779EC" w:rsidRPr="00666BFE" w:rsidRDefault="005779EC" w:rsidP="005779EC">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779EC" w:rsidRPr="00666BFE" w:rsidRDefault="005779EC" w:rsidP="005779E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5779EC" w:rsidRPr="00666BFE" w:rsidRDefault="005779EC" w:rsidP="005779EC">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779EC" w:rsidRPr="00666BFE" w:rsidRDefault="005779EC" w:rsidP="005779EC">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lastRenderedPageBreak/>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779EC" w:rsidRPr="00666BFE" w:rsidRDefault="005779EC" w:rsidP="005779EC">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5779EC" w:rsidRPr="00666BFE" w:rsidRDefault="005779EC" w:rsidP="005779EC">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5779EC" w:rsidRPr="00666BFE" w:rsidRDefault="005779EC" w:rsidP="005779EC">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5779EC" w:rsidRPr="00666BFE" w:rsidRDefault="005779EC" w:rsidP="005779EC">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5779EC" w:rsidRDefault="005779EC" w:rsidP="005779EC">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779EC" w:rsidRPr="00666BFE" w:rsidRDefault="005779EC" w:rsidP="005779EC">
      <w:pPr>
        <w:spacing w:line="240" w:lineRule="auto"/>
        <w:ind w:firstLine="567"/>
        <w:contextualSpacing/>
        <w:jc w:val="both"/>
        <w:rPr>
          <w:rFonts w:ascii="Times New Roman" w:hAnsi="Times New Roman"/>
        </w:rPr>
      </w:pPr>
    </w:p>
    <w:p w:rsidR="005779EC" w:rsidRPr="00666BFE" w:rsidRDefault="005779EC" w:rsidP="005779EC">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Устав;</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5779EC" w:rsidRPr="00666BFE" w:rsidRDefault="005779EC" w:rsidP="005779EC">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5779EC" w:rsidRDefault="005779EC" w:rsidP="005779EC">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779EC" w:rsidRPr="00666BFE" w:rsidRDefault="005779EC" w:rsidP="005779EC">
      <w:pPr>
        <w:spacing w:line="240" w:lineRule="auto"/>
        <w:ind w:firstLine="567"/>
        <w:contextualSpacing/>
        <w:jc w:val="both"/>
        <w:rPr>
          <w:rFonts w:ascii="Times New Roman" w:hAnsi="Times New Roman"/>
        </w:rPr>
      </w:pPr>
    </w:p>
    <w:p w:rsidR="005779EC" w:rsidRPr="00666BFE" w:rsidRDefault="005779EC" w:rsidP="005779EC">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5779EC" w:rsidRPr="00666BFE" w:rsidRDefault="005779EC" w:rsidP="005779EC">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779EC" w:rsidRPr="00666BFE" w:rsidRDefault="005779EC" w:rsidP="005779E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5779EC" w:rsidRDefault="005779EC" w:rsidP="005779EC">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5779EC" w:rsidRDefault="005779EC" w:rsidP="005779EC">
      <w:pPr>
        <w:spacing w:line="240" w:lineRule="auto"/>
        <w:ind w:firstLine="567"/>
        <w:contextualSpacing/>
        <w:jc w:val="both"/>
        <w:rPr>
          <w:rFonts w:ascii="Times New Roman" w:eastAsia="Times New Roman" w:hAnsi="Times New Roman"/>
          <w:color w:val="000000"/>
        </w:rPr>
      </w:pPr>
    </w:p>
    <w:p w:rsidR="005779EC" w:rsidRDefault="005779EC" w:rsidP="005779EC">
      <w:pPr>
        <w:spacing w:line="240" w:lineRule="auto"/>
        <w:ind w:firstLine="567"/>
        <w:contextualSpacing/>
        <w:jc w:val="both"/>
        <w:rPr>
          <w:rFonts w:ascii="Times New Roman" w:eastAsia="Times New Roman" w:hAnsi="Times New Roman"/>
          <w:color w:val="000000"/>
        </w:rPr>
      </w:pPr>
    </w:p>
    <w:p w:rsidR="005779EC" w:rsidRPr="00B00FA6" w:rsidRDefault="005779EC" w:rsidP="005779EC">
      <w:pPr>
        <w:spacing w:line="240" w:lineRule="auto"/>
        <w:ind w:firstLine="567"/>
        <w:contextualSpacing/>
        <w:jc w:val="both"/>
        <w:rPr>
          <w:rFonts w:ascii="Times New Roman" w:eastAsia="Times New Roman" w:hAnsi="Times New Roman"/>
          <w:color w:val="000000"/>
        </w:rPr>
      </w:pPr>
    </w:p>
    <w:p w:rsidR="005779EC" w:rsidRPr="00666BFE" w:rsidRDefault="005779EC" w:rsidP="005779EC">
      <w:pPr>
        <w:spacing w:line="240" w:lineRule="auto"/>
        <w:ind w:firstLine="567"/>
        <w:contextualSpacing/>
        <w:jc w:val="both"/>
        <w:rPr>
          <w:rFonts w:ascii="Times New Roman" w:hAnsi="Times New Roman"/>
          <w:b/>
        </w:rPr>
      </w:pPr>
      <w:r w:rsidRPr="00666BFE">
        <w:rPr>
          <w:rFonts w:ascii="Times New Roman" w:hAnsi="Times New Roman"/>
          <w:b/>
        </w:rPr>
        <w:lastRenderedPageBreak/>
        <w:t>10. Условия конфиденциальности.</w:t>
      </w:r>
    </w:p>
    <w:p w:rsidR="005779EC" w:rsidRPr="00666BFE" w:rsidRDefault="005779EC" w:rsidP="005779EC">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5779EC" w:rsidRPr="00666BFE" w:rsidRDefault="005779EC" w:rsidP="005779EC">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7283C" w:rsidRPr="008B4680" w:rsidRDefault="005779EC" w:rsidP="005779EC">
      <w:pPr>
        <w:spacing w:line="240" w:lineRule="auto"/>
        <w:ind w:firstLine="567"/>
        <w:contextualSpacing/>
        <w:jc w:val="both"/>
        <w:rPr>
          <w:rFonts w:ascii="Times New Roman" w:hAnsi="Times New Roman"/>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2E0B6C" w:rsidRDefault="002E0B6C" w:rsidP="000A4501">
      <w:pPr>
        <w:pStyle w:val="36"/>
        <w:spacing w:before="0" w:line="360" w:lineRule="auto"/>
        <w:rPr>
          <w:rFonts w:ascii="Times New Roman" w:hAnsi="Times New Roman"/>
          <w:szCs w:val="24"/>
        </w:rPr>
      </w:pPr>
    </w:p>
    <w:p w:rsidR="00A7283C" w:rsidRDefault="00A7283C"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779EC" w:rsidRDefault="005779EC" w:rsidP="000A4501">
      <w:pPr>
        <w:pStyle w:val="36"/>
        <w:spacing w:before="0" w:line="360" w:lineRule="auto"/>
        <w:rPr>
          <w:rFonts w:ascii="Times New Roman" w:hAnsi="Times New Roman"/>
          <w:szCs w:val="24"/>
        </w:rPr>
      </w:pPr>
    </w:p>
    <w:p w:rsidR="005779EC" w:rsidRDefault="005779EC" w:rsidP="000A4501">
      <w:pPr>
        <w:pStyle w:val="36"/>
        <w:spacing w:before="0" w:line="360" w:lineRule="auto"/>
        <w:rPr>
          <w:rFonts w:ascii="Times New Roman" w:hAnsi="Times New Roman"/>
          <w:szCs w:val="24"/>
        </w:rPr>
      </w:pPr>
    </w:p>
    <w:p w:rsidR="005779EC" w:rsidRDefault="005779EC" w:rsidP="000A4501">
      <w:pPr>
        <w:pStyle w:val="36"/>
        <w:spacing w:before="0" w:line="360" w:lineRule="auto"/>
        <w:rPr>
          <w:rFonts w:ascii="Times New Roman" w:hAnsi="Times New Roman"/>
          <w:szCs w:val="24"/>
        </w:rPr>
      </w:pPr>
    </w:p>
    <w:p w:rsidR="005779EC" w:rsidRDefault="005779EC" w:rsidP="000A4501">
      <w:pPr>
        <w:pStyle w:val="36"/>
        <w:spacing w:before="0" w:line="360" w:lineRule="auto"/>
        <w:rPr>
          <w:rFonts w:ascii="Times New Roman" w:hAnsi="Times New Roman"/>
          <w:szCs w:val="24"/>
        </w:rPr>
      </w:pPr>
    </w:p>
    <w:p w:rsidR="005779EC" w:rsidRDefault="005779EC" w:rsidP="000A4501">
      <w:pPr>
        <w:pStyle w:val="36"/>
        <w:spacing w:before="0" w:line="360" w:lineRule="auto"/>
        <w:rPr>
          <w:rFonts w:ascii="Times New Roman" w:hAnsi="Times New Roman"/>
          <w:szCs w:val="24"/>
        </w:rPr>
      </w:pPr>
    </w:p>
    <w:p w:rsidR="005779EC" w:rsidRDefault="005779EC" w:rsidP="000A4501">
      <w:pPr>
        <w:pStyle w:val="36"/>
        <w:spacing w:before="0" w:line="360" w:lineRule="auto"/>
        <w:rPr>
          <w:rFonts w:ascii="Times New Roman" w:hAnsi="Times New Roman"/>
          <w:szCs w:val="24"/>
        </w:rPr>
      </w:pPr>
    </w:p>
    <w:p w:rsidR="005779EC" w:rsidRDefault="005779EC"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Default="00550B99" w:rsidP="00A7283C">
      <w:pPr>
        <w:spacing w:after="0" w:line="240" w:lineRule="auto"/>
        <w:jc w:val="both"/>
        <w:rPr>
          <w:rFonts w:ascii="Times New Roman" w:hAnsi="Times New Roman" w:cs="Times New Roman"/>
          <w:sz w:val="24"/>
          <w:szCs w:val="24"/>
        </w:rPr>
      </w:pP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https://business.roseltorg.ru за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95" w:type="pct"/>
        <w:tblInd w:w="108" w:type="dxa"/>
        <w:tblLook w:val="04A0" w:firstRow="1" w:lastRow="0" w:firstColumn="1" w:lastColumn="0" w:noHBand="0" w:noVBand="1"/>
      </w:tblPr>
      <w:tblGrid>
        <w:gridCol w:w="569"/>
        <w:gridCol w:w="3854"/>
        <w:gridCol w:w="949"/>
        <w:gridCol w:w="1079"/>
        <w:gridCol w:w="2320"/>
        <w:gridCol w:w="1708"/>
      </w:tblGrid>
      <w:tr w:rsidR="00550B99" w:rsidRPr="00F91013" w:rsidTr="005779EC">
        <w:trPr>
          <w:trHeight w:val="20"/>
        </w:trPr>
        <w:tc>
          <w:tcPr>
            <w:tcW w:w="2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839"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5"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1107" w:type="pct"/>
            <w:tcBorders>
              <w:top w:val="single" w:sz="8" w:space="0" w:color="auto"/>
              <w:left w:val="nil"/>
              <w:bottom w:val="single" w:sz="8" w:space="0" w:color="auto"/>
              <w:right w:val="single" w:sz="8" w:space="0" w:color="auto"/>
            </w:tcBorders>
            <w:shd w:val="clear" w:color="auto" w:fill="auto"/>
            <w:noWrap/>
            <w:vAlign w:val="center"/>
            <w:hideMark/>
          </w:tcPr>
          <w:p w:rsidR="00550B99" w:rsidRPr="00F91013" w:rsidRDefault="00550B99" w:rsidP="005779E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spellStart"/>
            <w:r w:rsidR="005779EC">
              <w:rPr>
                <w:rFonts w:ascii="Times New Roman" w:eastAsia="Times New Roman" w:hAnsi="Times New Roman" w:cs="Times New Roman"/>
                <w:b/>
                <w:bCs/>
              </w:rPr>
              <w:t>тн</w:t>
            </w:r>
            <w:proofErr w:type="spellEnd"/>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550B99" w:rsidRPr="00F91013" w:rsidRDefault="00550B9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550B99" w:rsidRPr="00F91013" w:rsidTr="005779EC">
        <w:trPr>
          <w:trHeight w:val="20"/>
        </w:trPr>
        <w:tc>
          <w:tcPr>
            <w:tcW w:w="271" w:type="pct"/>
            <w:tcBorders>
              <w:top w:val="nil"/>
              <w:left w:val="single" w:sz="8" w:space="0" w:color="auto"/>
              <w:bottom w:val="single" w:sz="4" w:space="0" w:color="auto"/>
              <w:right w:val="single" w:sz="8" w:space="0" w:color="auto"/>
            </w:tcBorders>
            <w:shd w:val="clear" w:color="000000" w:fill="FFFFFF"/>
            <w:noWrap/>
            <w:vAlign w:val="center"/>
            <w:hideMark/>
          </w:tcPr>
          <w:p w:rsidR="00550B99" w:rsidRPr="00F91013" w:rsidRDefault="00550B9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839" w:type="pct"/>
            <w:tcBorders>
              <w:top w:val="nil"/>
              <w:left w:val="nil"/>
              <w:bottom w:val="single" w:sz="4" w:space="0" w:color="auto"/>
              <w:right w:val="single" w:sz="8" w:space="0" w:color="auto"/>
            </w:tcBorders>
            <w:shd w:val="clear" w:color="000000" w:fill="FFFFFF"/>
            <w:vAlign w:val="center"/>
          </w:tcPr>
          <w:p w:rsidR="00550B99" w:rsidRPr="00F91013" w:rsidRDefault="00550B99" w:rsidP="00550B99">
            <w:pPr>
              <w:spacing w:line="240" w:lineRule="auto"/>
              <w:rPr>
                <w:rFonts w:ascii="Times New Roman" w:eastAsia="Times New Roman" w:hAnsi="Times New Roman" w:cs="Times New Roman"/>
                <w:sz w:val="20"/>
                <w:szCs w:val="20"/>
              </w:rPr>
            </w:pPr>
          </w:p>
        </w:tc>
        <w:tc>
          <w:tcPr>
            <w:tcW w:w="453"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rPr>
                <w:rFonts w:ascii="Times New Roman" w:eastAsia="Times New Roman" w:hAnsi="Times New Roman" w:cs="Times New Roman"/>
              </w:rPr>
            </w:pPr>
          </w:p>
        </w:tc>
        <w:tc>
          <w:tcPr>
            <w:tcW w:w="5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c>
          <w:tcPr>
            <w:tcW w:w="1107" w:type="pct"/>
            <w:tcBorders>
              <w:top w:val="nil"/>
              <w:left w:val="nil"/>
              <w:bottom w:val="single" w:sz="4" w:space="0" w:color="auto"/>
              <w:right w:val="single" w:sz="8" w:space="0" w:color="auto"/>
            </w:tcBorders>
            <w:shd w:val="clear" w:color="000000" w:fill="FFFFFF"/>
            <w:noWrap/>
            <w:vAlign w:val="bottom"/>
          </w:tcPr>
          <w:p w:rsidR="00550B99" w:rsidRPr="00F91013" w:rsidRDefault="00550B99" w:rsidP="00550B99">
            <w:pPr>
              <w:spacing w:line="240" w:lineRule="auto"/>
              <w:jc w:val="right"/>
              <w:rPr>
                <w:rFonts w:ascii="Calibri" w:eastAsia="Times New Roman" w:hAnsi="Calibri" w:cs="Calibri"/>
              </w:rPr>
            </w:pPr>
          </w:p>
        </w:tc>
        <w:tc>
          <w:tcPr>
            <w:tcW w:w="815" w:type="pct"/>
            <w:tcBorders>
              <w:top w:val="nil"/>
              <w:left w:val="nil"/>
              <w:bottom w:val="single" w:sz="4" w:space="0" w:color="auto"/>
              <w:right w:val="single" w:sz="8"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rPr>
            </w:pPr>
          </w:p>
        </w:tc>
      </w:tr>
      <w:tr w:rsidR="00550B99" w:rsidRPr="00F91013" w:rsidTr="005779EC">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Итого:</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r w:rsidR="00550B99" w:rsidRPr="00F91013" w:rsidTr="005779EC">
        <w:trPr>
          <w:trHeight w:val="20"/>
        </w:trPr>
        <w:tc>
          <w:tcPr>
            <w:tcW w:w="418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r w:rsidRPr="00F91013">
              <w:rPr>
                <w:rFonts w:ascii="Times New Roman" w:eastAsia="Times New Roman" w:hAnsi="Times New Roman" w:cs="Times New Roman"/>
                <w:b/>
              </w:rPr>
              <w:t>НДС 20%:</w:t>
            </w:r>
          </w:p>
        </w:tc>
        <w:tc>
          <w:tcPr>
            <w:tcW w:w="8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50B99" w:rsidRPr="00F91013" w:rsidRDefault="00550B99" w:rsidP="00550B99">
            <w:pPr>
              <w:spacing w:line="240" w:lineRule="auto"/>
              <w:jc w:val="right"/>
              <w:rPr>
                <w:rFonts w:ascii="Times New Roman" w:eastAsia="Times New Roman" w:hAnsi="Times New Roman" w:cs="Times New Roman"/>
                <w:b/>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A7283C">
        <w:rPr>
          <w:rFonts w:ascii="Times New Roman" w:hAnsi="Times New Roman" w:cs="Times New Roman"/>
          <w:b/>
          <w:bCs/>
          <w:sz w:val="24"/>
          <w:szCs w:val="24"/>
          <w:highlight w:val="yellow"/>
        </w:rPr>
        <w:t>(необходимо выбрать).</w:t>
      </w:r>
      <w:r w:rsidR="00326EE1">
        <w:rPr>
          <w:rFonts w:ascii="Times New Roman" w:hAnsi="Times New Roman" w:cs="Times New Roman"/>
          <w:b/>
          <w:bCs/>
          <w:sz w:val="24"/>
          <w:szCs w:val="24"/>
        </w:rPr>
        <w:t xml:space="preserve">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550B99" w:rsidRDefault="00550B99" w:rsidP="00312674">
      <w:pPr>
        <w:pStyle w:val="af4"/>
        <w:jc w:val="both"/>
        <w:rPr>
          <w:rFonts w:ascii="Times New Roman" w:hAnsi="Times New Roman" w:cs="Times New Roman"/>
          <w:b/>
          <w:sz w:val="24"/>
          <w:szCs w:val="24"/>
        </w:rPr>
      </w:pPr>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779EC" w:rsidRDefault="005779EC" w:rsidP="00BF1783">
      <w:pPr>
        <w:pStyle w:val="-4"/>
        <w:widowControl w:val="0"/>
        <w:tabs>
          <w:tab w:val="clear" w:pos="2269"/>
          <w:tab w:val="left" w:pos="1134"/>
        </w:tabs>
        <w:ind w:left="0"/>
        <w:jc w:val="right"/>
        <w:rPr>
          <w:i/>
          <w:sz w:val="24"/>
          <w:szCs w:val="24"/>
        </w:rPr>
      </w:pPr>
    </w:p>
    <w:p w:rsidR="005779EC" w:rsidRDefault="005779EC"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1378DB" w:rsidRPr="00677857" w:rsidRDefault="001378DB" w:rsidP="001378DB">
      <w:pPr>
        <w:pStyle w:val="af5"/>
        <w:numPr>
          <w:ilvl w:val="1"/>
          <w:numId w:val="33"/>
        </w:numPr>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5779EC"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10 (десяти)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w:t>
      </w:r>
      <w:r w:rsidRPr="00E53F16">
        <w:rPr>
          <w:rFonts w:ascii="Times New Roman" w:hAnsi="Times New Roman" w:cs="Times New Roman"/>
          <w:color w:val="000000" w:themeColor="text1"/>
        </w:rPr>
        <w:lastRenderedPageBreak/>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6"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w:t>
      </w:r>
      <w:r w:rsidRPr="00E53F16">
        <w:rPr>
          <w:rFonts w:ascii="Times New Roman" w:eastAsia="Times New Roman" w:hAnsi="Times New Roman" w:cs="Times New Roman"/>
          <w:color w:val="000000" w:themeColor="text1"/>
        </w:rPr>
        <w:lastRenderedPageBreak/>
        <w:t>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w:t>
      </w:r>
      <w:r w:rsidRPr="007B357A">
        <w:rPr>
          <w:rFonts w:ascii="Times New Roman" w:eastAsia="Times New Roman" w:hAnsi="Times New Roman" w:cs="Times New Roman"/>
          <w:color w:val="000000" w:themeColor="text1"/>
        </w:rPr>
        <w:lastRenderedPageBreak/>
        <w:t>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5779EC">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7"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w:t>
      </w:r>
      <w:r w:rsidRPr="008505EF">
        <w:rPr>
          <w:rFonts w:ascii="Times New Roman" w:eastAsia="Times New Roman" w:hAnsi="Times New Roman" w:cs="Times New Roman"/>
          <w:lang w:eastAsia="ru-RU"/>
        </w:rPr>
        <w:lastRenderedPageBreak/>
        <w:t>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w:t>
      </w:r>
      <w:r w:rsidRPr="007B357A">
        <w:rPr>
          <w:rFonts w:ascii="Times New Roman" w:eastAsia="Times New Roman" w:hAnsi="Times New Roman" w:cs="Times New Roman"/>
          <w:color w:val="000000" w:themeColor="text1"/>
        </w:rPr>
        <w:lastRenderedPageBreak/>
        <w:t>договора или вступления в силу соответствующего решения суда о расторжении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5779EC" w:rsidRDefault="005779EC" w:rsidP="001378DB">
      <w:pPr>
        <w:spacing w:after="0" w:line="240" w:lineRule="auto"/>
        <w:ind w:left="5812"/>
        <w:rPr>
          <w:rFonts w:ascii="Times New Roman" w:eastAsia="Times New Roman" w:hAnsi="Times New Roman" w:cs="Times New Roman"/>
          <w:bCs/>
          <w:color w:val="000000" w:themeColor="text1"/>
        </w:rPr>
      </w:pPr>
    </w:p>
    <w:p w:rsidR="005779EC" w:rsidRDefault="005779EC" w:rsidP="001378DB">
      <w:pPr>
        <w:spacing w:after="0" w:line="240" w:lineRule="auto"/>
        <w:ind w:left="5812"/>
        <w:rPr>
          <w:rFonts w:ascii="Times New Roman" w:eastAsia="Times New Roman" w:hAnsi="Times New Roman" w:cs="Times New Roman"/>
          <w:bCs/>
          <w:color w:val="000000" w:themeColor="text1"/>
        </w:rPr>
      </w:pPr>
    </w:p>
    <w:p w:rsidR="005779EC" w:rsidRDefault="005779EC" w:rsidP="001378DB">
      <w:pPr>
        <w:spacing w:after="0" w:line="240" w:lineRule="auto"/>
        <w:ind w:left="5812"/>
        <w:rPr>
          <w:rFonts w:ascii="Times New Roman" w:eastAsia="Times New Roman" w:hAnsi="Times New Roman" w:cs="Times New Roman"/>
          <w:bCs/>
          <w:color w:val="000000" w:themeColor="text1"/>
        </w:rPr>
      </w:pPr>
    </w:p>
    <w:p w:rsidR="005779EC" w:rsidRDefault="005779EC" w:rsidP="001378DB">
      <w:pPr>
        <w:spacing w:after="0" w:line="240" w:lineRule="auto"/>
        <w:ind w:left="5812"/>
        <w:rPr>
          <w:rFonts w:ascii="Times New Roman" w:eastAsia="Times New Roman" w:hAnsi="Times New Roman" w:cs="Times New Roman"/>
          <w:bCs/>
          <w:color w:val="000000" w:themeColor="text1"/>
        </w:rPr>
      </w:pPr>
    </w:p>
    <w:p w:rsidR="005779EC" w:rsidRDefault="005779EC"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5779E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Цена за 1 </w:t>
            </w:r>
            <w:proofErr w:type="spellStart"/>
            <w:r w:rsidR="005779EC">
              <w:rPr>
                <w:rFonts w:ascii="Times New Roman" w:hAnsi="Times New Roman" w:cs="Times New Roman"/>
                <w:color w:val="000000" w:themeColor="text1"/>
              </w:rPr>
              <w:t>тн</w:t>
            </w:r>
            <w:proofErr w:type="spell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01" w:rsidRDefault="001C6C01" w:rsidP="005C4CBB">
      <w:pPr>
        <w:spacing w:after="0" w:line="240" w:lineRule="auto"/>
      </w:pPr>
      <w:r>
        <w:separator/>
      </w:r>
    </w:p>
  </w:endnote>
  <w:endnote w:type="continuationSeparator" w:id="0">
    <w:p w:rsidR="001C6C01" w:rsidRDefault="001C6C0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01" w:rsidRDefault="001C6C01" w:rsidP="005C4CBB">
      <w:pPr>
        <w:spacing w:after="0" w:line="240" w:lineRule="auto"/>
      </w:pPr>
      <w:r>
        <w:separator/>
      </w:r>
    </w:p>
  </w:footnote>
  <w:footnote w:type="continuationSeparator" w:id="0">
    <w:p w:rsidR="001C6C01" w:rsidRDefault="001C6C01" w:rsidP="005C4CBB">
      <w:pPr>
        <w:spacing w:after="0" w:line="240" w:lineRule="auto"/>
      </w:pPr>
      <w:r>
        <w:continuationSeparator/>
      </w:r>
    </w:p>
  </w:footnote>
  <w:footnote w:id="1">
    <w:p w:rsidR="001C6C01" w:rsidRPr="006A4B85" w:rsidRDefault="001C6C0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2"/>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1"/>
  </w:num>
  <w:num w:numId="16">
    <w:abstractNumId w:val="2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11"/>
  </w:num>
  <w:num w:numId="24">
    <w:abstractNumId w:val="10"/>
  </w:num>
  <w:num w:numId="25">
    <w:abstractNumId w:val="30"/>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3"/>
  </w:num>
  <w:num w:numId="31">
    <w:abstractNumId w:val="35"/>
  </w:num>
  <w:num w:numId="32">
    <w:abstractNumId w:val="34"/>
  </w:num>
  <w:num w:numId="33">
    <w:abstractNumId w:val="36"/>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779EC"/>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283C"/>
    <w:rsid w:val="00A74778"/>
    <w:rsid w:val="00A76F40"/>
    <w:rsid w:val="00A847E2"/>
    <w:rsid w:val="00A85929"/>
    <w:rsid w:val="00A92F2C"/>
    <w:rsid w:val="00A95690"/>
    <w:rsid w:val="00A96094"/>
    <w:rsid w:val="00AA179C"/>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03C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99"/>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____@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68EF-F174-4F34-A9A6-27DFF480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26</Pages>
  <Words>13691</Words>
  <Characters>78041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53</cp:revision>
  <cp:lastPrinted>2023-08-07T10:56:00Z</cp:lastPrinted>
  <dcterms:created xsi:type="dcterms:W3CDTF">2022-02-18T06:04:00Z</dcterms:created>
  <dcterms:modified xsi:type="dcterms:W3CDTF">2023-10-09T10:40:00Z</dcterms:modified>
</cp:coreProperties>
</file>