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  <w:r w:rsidRPr="00446A47">
        <w:rPr>
          <w:b/>
          <w:bCs/>
          <w:sz w:val="28"/>
          <w:szCs w:val="28"/>
        </w:rPr>
        <w:t>ТЕХНИЧЕСКОЕ ЗАДАНИЕ</w:t>
      </w:r>
    </w:p>
    <w:p w:rsidR="001F5A32" w:rsidRPr="00446A47" w:rsidRDefault="001F5A32" w:rsidP="001F5A32">
      <w:pPr>
        <w:rPr>
          <w:b/>
          <w:bCs/>
          <w:sz w:val="28"/>
          <w:szCs w:val="28"/>
        </w:rPr>
      </w:pPr>
    </w:p>
    <w:p w:rsidR="008E14B0" w:rsidRPr="00A66BE7" w:rsidRDefault="00A66BE7" w:rsidP="00A66BE7">
      <w:pPr>
        <w:jc w:val="center"/>
        <w:rPr>
          <w:b/>
          <w:sz w:val="24"/>
          <w:szCs w:val="24"/>
        </w:rPr>
      </w:pPr>
      <w:r w:rsidRPr="00A66BE7">
        <w:rPr>
          <w:b/>
          <w:sz w:val="24"/>
          <w:szCs w:val="24"/>
        </w:rPr>
        <w:t>Н</w:t>
      </w:r>
      <w:r w:rsidR="001F5A32" w:rsidRPr="00A66BE7">
        <w:rPr>
          <w:b/>
          <w:sz w:val="24"/>
          <w:szCs w:val="24"/>
        </w:rPr>
        <w:t xml:space="preserve">а изготовление и поставку ПВД пакетов </w:t>
      </w:r>
      <w:r w:rsidRPr="00A66BE7">
        <w:rPr>
          <w:b/>
          <w:sz w:val="26"/>
          <w:szCs w:val="26"/>
        </w:rPr>
        <w:t xml:space="preserve">с логотипом Остров мечты </w:t>
      </w:r>
      <w:r w:rsidRPr="00A66BE7">
        <w:rPr>
          <w:b/>
          <w:sz w:val="24"/>
          <w:szCs w:val="24"/>
        </w:rPr>
        <w:t>(</w:t>
      </w:r>
      <w:r w:rsidR="00696589" w:rsidRPr="00A66BE7">
        <w:rPr>
          <w:b/>
          <w:sz w:val="24"/>
          <w:szCs w:val="24"/>
        </w:rPr>
        <w:t>4</w:t>
      </w:r>
      <w:r w:rsidRPr="00A66BE7">
        <w:rPr>
          <w:b/>
          <w:sz w:val="24"/>
          <w:szCs w:val="24"/>
        </w:rPr>
        <w:t>5</w:t>
      </w:r>
      <w:r w:rsidR="00696589" w:rsidRPr="00A66BE7">
        <w:rPr>
          <w:b/>
          <w:sz w:val="24"/>
          <w:szCs w:val="24"/>
        </w:rPr>
        <w:t> 000 шт.)</w:t>
      </w:r>
      <w:r w:rsidRPr="00A66BE7">
        <w:rPr>
          <w:b/>
          <w:sz w:val="24"/>
          <w:szCs w:val="24"/>
        </w:rPr>
        <w:t>:</w:t>
      </w:r>
    </w:p>
    <w:p w:rsidR="00A66BE7" w:rsidRDefault="00A66BE7" w:rsidP="00A66BE7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1 - Пакет полиэтиленовый (размер M 38х38+3 = дно 6, горизонтальный);</w:t>
      </w:r>
    </w:p>
    <w:p w:rsidR="00A66BE7" w:rsidRDefault="00A66BE7" w:rsidP="00A66BE7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2 - Пакет полиэтиленовый (размер L 50х39+5 = дно 10, горизонтальный);</w:t>
      </w:r>
    </w:p>
    <w:p w:rsidR="00A66BE7" w:rsidRPr="00A66BE7" w:rsidRDefault="00A66BE7" w:rsidP="00A66BE7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3 - Пакет полиэтиленовый (размер XL 55х40+5 = дно 10, горизонтальный).</w:t>
      </w:r>
    </w:p>
    <w:p w:rsidR="008E14B0" w:rsidRPr="00034080" w:rsidRDefault="008E14B0" w:rsidP="00A66BE7">
      <w:pPr>
        <w:ind w:left="2124"/>
        <w:jc w:val="center"/>
        <w:rPr>
          <w:b/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pStyle w:val="a5"/>
        <w:spacing w:after="0"/>
        <w:jc w:val="center"/>
        <w:rPr>
          <w:b/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Pr="0003408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outlineLvl w:val="0"/>
        <w:rPr>
          <w:sz w:val="26"/>
          <w:szCs w:val="26"/>
        </w:rPr>
      </w:pPr>
    </w:p>
    <w:p w:rsidR="001F5A32" w:rsidRDefault="001F5A32" w:rsidP="008E14B0">
      <w:pPr>
        <w:jc w:val="center"/>
        <w:rPr>
          <w:sz w:val="26"/>
          <w:szCs w:val="26"/>
        </w:rPr>
      </w:pPr>
    </w:p>
    <w:p w:rsidR="001F5A32" w:rsidRDefault="001F5A32" w:rsidP="008E14B0">
      <w:pPr>
        <w:jc w:val="center"/>
        <w:rPr>
          <w:sz w:val="26"/>
          <w:szCs w:val="26"/>
        </w:rPr>
      </w:pPr>
    </w:p>
    <w:p w:rsidR="008E14B0" w:rsidRDefault="008E14B0" w:rsidP="008E14B0">
      <w:pPr>
        <w:jc w:val="center"/>
        <w:rPr>
          <w:b/>
          <w:sz w:val="26"/>
          <w:szCs w:val="26"/>
        </w:rPr>
      </w:pPr>
      <w:r w:rsidRPr="00034080">
        <w:rPr>
          <w:b/>
          <w:sz w:val="26"/>
          <w:szCs w:val="26"/>
        </w:rPr>
        <w:t>20</w:t>
      </w:r>
      <w:r w:rsidR="00335EEE">
        <w:rPr>
          <w:b/>
          <w:sz w:val="26"/>
          <w:szCs w:val="26"/>
        </w:rPr>
        <w:t>2</w:t>
      </w:r>
      <w:r w:rsidR="00E0168C">
        <w:rPr>
          <w:b/>
          <w:sz w:val="26"/>
          <w:szCs w:val="26"/>
        </w:rPr>
        <w:t>4</w:t>
      </w:r>
      <w:r w:rsidRPr="00034080">
        <w:rPr>
          <w:b/>
          <w:sz w:val="26"/>
          <w:szCs w:val="26"/>
        </w:rPr>
        <w:t xml:space="preserve"> г.</w:t>
      </w: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1F5A32" w:rsidRDefault="001F5A32" w:rsidP="008E14B0">
      <w:pPr>
        <w:rPr>
          <w:rFonts w:ascii="Calibri Light" w:hAnsi="Calibri Light" w:cs="Calibri Light"/>
        </w:rPr>
      </w:pPr>
    </w:p>
    <w:p w:rsidR="001F5A32" w:rsidRDefault="001F5A32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Pr="008E14B0" w:rsidRDefault="008E14B0" w:rsidP="008E14B0">
      <w:pPr>
        <w:rPr>
          <w:rFonts w:ascii="Calibri Light" w:hAnsi="Calibri Light" w:cs="Calibri Ligh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8E14B0" w:rsidRPr="00E0168C" w:rsidTr="00DA020F">
        <w:trPr>
          <w:trHeight w:val="476"/>
        </w:trPr>
        <w:tc>
          <w:tcPr>
            <w:tcW w:w="2547" w:type="dxa"/>
            <w:shd w:val="clear" w:color="auto" w:fill="auto"/>
          </w:tcPr>
          <w:p w:rsidR="008E14B0" w:rsidRPr="00E0168C" w:rsidRDefault="008E14B0" w:rsidP="00DA020F">
            <w:pPr>
              <w:jc w:val="both"/>
            </w:pPr>
            <w:r w:rsidRPr="00E0168C">
              <w:t>Общество, Организатор закупочной процедуры</w:t>
            </w:r>
          </w:p>
        </w:tc>
        <w:tc>
          <w:tcPr>
            <w:tcW w:w="7087" w:type="dxa"/>
            <w:shd w:val="clear" w:color="auto" w:fill="auto"/>
          </w:tcPr>
          <w:p w:rsidR="008E14B0" w:rsidRPr="00E0168C" w:rsidRDefault="00335EEE" w:rsidP="00335EEE">
            <w:pPr>
              <w:tabs>
                <w:tab w:val="left" w:pos="1311"/>
              </w:tabs>
              <w:jc w:val="both"/>
            </w:pPr>
            <w:r w:rsidRPr="00E0168C">
              <w:tab/>
            </w:r>
            <w:r w:rsidR="001F5A32" w:rsidRPr="00E0168C">
              <w:t xml:space="preserve">ООО ХК «Остров мечты»  для </w:t>
            </w:r>
            <w:r w:rsidRPr="00E0168C">
              <w:t>ООО «РЭ Ритейл»</w:t>
            </w:r>
          </w:p>
        </w:tc>
      </w:tr>
      <w:tr w:rsidR="008E14B0" w:rsidRPr="00E0168C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E0168C" w:rsidRDefault="008E14B0" w:rsidP="00DA020F">
            <w:pPr>
              <w:jc w:val="both"/>
            </w:pPr>
            <w:r w:rsidRPr="00E0168C">
              <w:t xml:space="preserve">Требования к поставщику </w:t>
            </w:r>
          </w:p>
        </w:tc>
        <w:tc>
          <w:tcPr>
            <w:tcW w:w="7087" w:type="dxa"/>
            <w:shd w:val="clear" w:color="auto" w:fill="auto"/>
          </w:tcPr>
          <w:p w:rsidR="001F5A32" w:rsidRPr="00E0168C" w:rsidRDefault="001F5A32" w:rsidP="001F5A32">
            <w:pPr>
              <w:tabs>
                <w:tab w:val="left" w:pos="458"/>
              </w:tabs>
              <w:ind w:left="175"/>
              <w:jc w:val="both"/>
            </w:pPr>
            <w:r w:rsidRPr="00E0168C">
              <w:t xml:space="preserve">Обязательные требования: 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отсутствие записи о недостоверности данных в ЕГРЮЛ;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участник закупочной процедуры не зарегистрирован по адресу массовой регистрации;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генеральный директор не является учредителем массовых юридических лиц;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отсутствие дисквалифицированных лиц в исполнительном органе;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соответствие предмета закупки видам деятельности (ОКВЭД), осуществляемым Участником закупочной процедуры;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финансовая устойчивость Участника закупочной процедуры:</w:t>
            </w:r>
          </w:p>
          <w:p w:rsidR="001F5A32" w:rsidRPr="00E0168C" w:rsidRDefault="001F5A32" w:rsidP="001F5A32">
            <w:pPr>
              <w:numPr>
                <w:ilvl w:val="0"/>
                <w:numId w:val="5"/>
              </w:numPr>
              <w:spacing w:before="60"/>
              <w:ind w:left="452" w:hanging="142"/>
              <w:jc w:val="both"/>
            </w:pPr>
            <w:r w:rsidRPr="00E0168C">
              <w:t>наличие сведений о сдаче финансовой отчетности;</w:t>
            </w:r>
          </w:p>
          <w:p w:rsidR="001F5A32" w:rsidRPr="00E0168C" w:rsidRDefault="001F5A32" w:rsidP="001F5A32">
            <w:pPr>
              <w:numPr>
                <w:ilvl w:val="0"/>
                <w:numId w:val="5"/>
              </w:numPr>
              <w:spacing w:before="60"/>
              <w:ind w:left="452" w:hanging="142"/>
              <w:jc w:val="both"/>
            </w:pPr>
            <w:r w:rsidRPr="00E0168C">
              <w:t>отсутствие задолженностей по налогам и сборам;</w:t>
            </w:r>
          </w:p>
          <w:p w:rsidR="001F5A32" w:rsidRPr="00E0168C" w:rsidRDefault="001F5A32" w:rsidP="001F5A32">
            <w:pPr>
              <w:numPr>
                <w:ilvl w:val="0"/>
                <w:numId w:val="5"/>
              </w:numPr>
              <w:spacing w:before="60"/>
              <w:ind w:left="452" w:hanging="142"/>
              <w:jc w:val="both"/>
            </w:pPr>
            <w:r w:rsidRPr="00E0168C">
              <w:t>отсутствие «нулевой» отчетности потенциального поставщика;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proofErr w:type="spellStart"/>
            <w:r w:rsidRPr="00E0168C">
              <w:t>непроведение</w:t>
            </w:r>
            <w:proofErr w:type="spellEnd"/>
            <w:r w:rsidRPr="00E0168C">
      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proofErr w:type="spellStart"/>
            <w:r w:rsidRPr="00E0168C">
              <w:t>неприостановление</w:t>
            </w:r>
            <w:proofErr w:type="spellEnd"/>
            <w:r w:rsidRPr="00E0168C">
      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наличие у Участника закупочной процедуры штата работников, необходимого для выполнения обязательств по договору;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отсутствие у Участника закупочной процедуры рисков связанных с наличием исполнительных производств у Участника закупочной процедуры;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>отсутствие иной негативной информации в отношении Участника закупочных процедур;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spacing w:before="60"/>
              <w:ind w:left="452" w:hanging="142"/>
              <w:jc w:val="both"/>
            </w:pPr>
            <w:r w:rsidRPr="00E0168C">
              <w:t xml:space="preserve">отсутствие </w:t>
            </w:r>
            <w:proofErr w:type="spellStart"/>
            <w:r w:rsidRPr="00E0168C">
              <w:t>аффилированности</w:t>
            </w:r>
            <w:proofErr w:type="spellEnd"/>
            <w:r w:rsidRPr="00E0168C">
              <w:t xml:space="preserve"> с другими Участниками закупочной процедуры;</w:t>
            </w:r>
          </w:p>
          <w:p w:rsidR="001F5A32" w:rsidRPr="00E0168C" w:rsidRDefault="001F5A32" w:rsidP="001F5A32">
            <w:pPr>
              <w:numPr>
                <w:ilvl w:val="0"/>
                <w:numId w:val="2"/>
              </w:numPr>
              <w:ind w:left="452" w:hanging="142"/>
              <w:jc w:val="both"/>
            </w:pPr>
            <w:r w:rsidRPr="00E0168C">
              <w:t>отсутствие Участника закупочной процедуры в реестре недобросовестных поставщиков.</w:t>
            </w:r>
          </w:p>
          <w:p w:rsidR="008E14B0" w:rsidRPr="00E0168C" w:rsidRDefault="008E14B0" w:rsidP="00DA020F">
            <w:pPr>
              <w:pStyle w:val="3"/>
              <w:numPr>
                <w:ilvl w:val="0"/>
                <w:numId w:val="0"/>
              </w:numPr>
              <w:spacing w:before="0"/>
              <w:ind w:left="720"/>
            </w:pPr>
          </w:p>
        </w:tc>
      </w:tr>
      <w:tr w:rsidR="008E14B0" w:rsidRPr="00E0168C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E0168C" w:rsidRDefault="008E14B0" w:rsidP="00DA020F">
            <w:r w:rsidRPr="00E0168C">
              <w:t>Правовые основания закупочной процедуры</w:t>
            </w:r>
          </w:p>
        </w:tc>
        <w:tc>
          <w:tcPr>
            <w:tcW w:w="7087" w:type="dxa"/>
            <w:shd w:val="clear" w:color="auto" w:fill="auto"/>
          </w:tcPr>
          <w:p w:rsidR="008E14B0" w:rsidRPr="00E0168C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</w:pPr>
            <w:r w:rsidRPr="00E0168C">
              <w:t xml:space="preserve">Проведение Закупочных процедур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гражданским законодательством РФ. </w:t>
            </w:r>
          </w:p>
          <w:p w:rsidR="008E14B0" w:rsidRPr="00E0168C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</w:pPr>
            <w:r w:rsidRPr="00E0168C">
              <w:t>Общество не несёт никаких обязательств по заключению каких-либо договоров с Участниками закупочных процедур, предоставившими свои Заявки.</w:t>
            </w:r>
          </w:p>
          <w:p w:rsidR="008E14B0" w:rsidRPr="00E0168C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</w:pPr>
            <w:r w:rsidRPr="00E0168C">
              <w:t>Общество вправе в любой момент отменить/изменить закупочную процедуру без объяснения причин Участникам закупочных процедур.</w:t>
            </w:r>
          </w:p>
          <w:p w:rsidR="008E14B0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</w:pPr>
            <w:r w:rsidRPr="00E0168C">
              <w:t>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      </w:r>
          </w:p>
          <w:p w:rsidR="00E0168C" w:rsidRPr="00E0168C" w:rsidRDefault="00E0168C" w:rsidP="00E0168C">
            <w:pPr>
              <w:pStyle w:val="3"/>
              <w:numPr>
                <w:ilvl w:val="0"/>
                <w:numId w:val="0"/>
              </w:numPr>
              <w:tabs>
                <w:tab w:val="left" w:pos="458"/>
              </w:tabs>
              <w:spacing w:before="0"/>
              <w:ind w:left="317"/>
            </w:pPr>
          </w:p>
        </w:tc>
      </w:tr>
      <w:tr w:rsidR="008E14B0" w:rsidRPr="00E0168C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E0168C" w:rsidRDefault="008E14B0" w:rsidP="00DA020F">
            <w:pPr>
              <w:jc w:val="both"/>
            </w:pPr>
            <w:r w:rsidRPr="00E0168C">
              <w:lastRenderedPageBreak/>
              <w:t>Предмет закупки</w:t>
            </w:r>
          </w:p>
        </w:tc>
        <w:tc>
          <w:tcPr>
            <w:tcW w:w="7087" w:type="dxa"/>
            <w:shd w:val="clear" w:color="auto" w:fill="auto"/>
          </w:tcPr>
          <w:p w:rsidR="00A66BE7" w:rsidRPr="00E0168C" w:rsidRDefault="00A66BE7" w:rsidP="00A66BE7">
            <w:r w:rsidRPr="00E0168C">
              <w:t>Изготовление и поставка ПВД пак</w:t>
            </w:r>
            <w:r w:rsidR="00C452FA">
              <w:t>етов с логотипом Остров мечты (59</w:t>
            </w:r>
            <w:r w:rsidRPr="00E0168C">
              <w:t> 000 шт.):</w:t>
            </w:r>
          </w:p>
          <w:p w:rsidR="00A66BE7" w:rsidRPr="00E0168C" w:rsidRDefault="00A66BE7" w:rsidP="00A66BE7">
            <w:r w:rsidRPr="00E0168C">
              <w:t>Лот 1 - Пакет полиэтиленовый (размер M 38х38+3 = дно 6, горизонтальный)</w:t>
            </w:r>
            <w:r w:rsidR="00C452FA">
              <w:t xml:space="preserve"> -25 000 шт.</w:t>
            </w:r>
            <w:r w:rsidRPr="00E0168C">
              <w:t>;</w:t>
            </w:r>
          </w:p>
          <w:p w:rsidR="00A66BE7" w:rsidRPr="00E0168C" w:rsidRDefault="00A66BE7" w:rsidP="00A66BE7">
            <w:r w:rsidRPr="00E0168C">
              <w:t>Лот 2 - Пакет полиэтиленовый (размер L 50х39+5 = дно 10, горизонтальный)</w:t>
            </w:r>
            <w:r w:rsidR="00C452FA">
              <w:t xml:space="preserve"> – 17 000 шт.</w:t>
            </w:r>
            <w:r w:rsidRPr="00E0168C">
              <w:t>;</w:t>
            </w:r>
          </w:p>
          <w:p w:rsidR="00A66BE7" w:rsidRPr="00E0168C" w:rsidRDefault="00A66BE7" w:rsidP="00A66BE7">
            <w:r w:rsidRPr="00E0168C">
              <w:t>Лот 3 - Пакет полиэтиленовый (размер XL 55х40+5 = дно 10, горизонтальный)</w:t>
            </w:r>
            <w:r w:rsidR="00C452FA">
              <w:t xml:space="preserve"> – 17 000 шт.</w:t>
            </w:r>
          </w:p>
          <w:p w:rsidR="008E14B0" w:rsidRPr="00E0168C" w:rsidRDefault="008E14B0" w:rsidP="007911E2">
            <w:pPr>
              <w:jc w:val="both"/>
              <w:rPr>
                <w:b/>
                <w:lang w:eastAsia="en-US"/>
              </w:rPr>
            </w:pPr>
          </w:p>
        </w:tc>
      </w:tr>
      <w:tr w:rsidR="00A66BE7" w:rsidRPr="00E0168C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A66BE7" w:rsidRPr="00E0168C" w:rsidRDefault="00A66BE7" w:rsidP="00A66BE7">
            <w:pPr>
              <w:jc w:val="both"/>
            </w:pPr>
            <w:r w:rsidRPr="00E0168C">
              <w:t>Содержание и объем работ/услуг</w:t>
            </w:r>
          </w:p>
        </w:tc>
        <w:tc>
          <w:tcPr>
            <w:tcW w:w="7087" w:type="dxa"/>
            <w:shd w:val="clear" w:color="auto" w:fill="auto"/>
          </w:tcPr>
          <w:p w:rsidR="00A66BE7" w:rsidRPr="00E0168C" w:rsidRDefault="00A66BE7" w:rsidP="00A66BE7">
            <w:pPr>
              <w:jc w:val="both"/>
              <w:rPr>
                <w:i/>
              </w:rPr>
            </w:pPr>
            <w:r w:rsidRPr="00E0168C">
              <w:t>отражены в Приложении к ТЗ</w:t>
            </w:r>
          </w:p>
        </w:tc>
      </w:tr>
      <w:tr w:rsidR="00A66BE7" w:rsidRPr="00E0168C" w:rsidTr="00DA020F">
        <w:trPr>
          <w:trHeight w:val="541"/>
        </w:trPr>
        <w:tc>
          <w:tcPr>
            <w:tcW w:w="2547" w:type="dxa"/>
            <w:shd w:val="clear" w:color="auto" w:fill="auto"/>
          </w:tcPr>
          <w:p w:rsidR="00A66BE7" w:rsidRPr="00E0168C" w:rsidRDefault="00A66BE7" w:rsidP="00A66BE7">
            <w:r w:rsidRPr="00E0168C">
              <w:t>Условия поставки</w:t>
            </w:r>
          </w:p>
        </w:tc>
        <w:tc>
          <w:tcPr>
            <w:tcW w:w="7087" w:type="dxa"/>
            <w:shd w:val="clear" w:color="auto" w:fill="auto"/>
          </w:tcPr>
          <w:p w:rsidR="00A66BE7" w:rsidRPr="00E0168C" w:rsidRDefault="00A66BE7" w:rsidP="00A66BE7">
            <w:pPr>
              <w:jc w:val="both"/>
              <w:rPr>
                <w:highlight w:val="yellow"/>
                <w:lang w:eastAsia="en-US"/>
              </w:rPr>
            </w:pPr>
            <w:r w:rsidRPr="00E0168C">
              <w:t>Доставка по адресу: г. Москва, пр. Андропова д.1А.</w:t>
            </w:r>
          </w:p>
        </w:tc>
      </w:tr>
      <w:tr w:rsidR="00A66BE7" w:rsidRPr="00E0168C" w:rsidTr="00DA020F">
        <w:trPr>
          <w:trHeight w:val="828"/>
        </w:trPr>
        <w:tc>
          <w:tcPr>
            <w:tcW w:w="2547" w:type="dxa"/>
            <w:shd w:val="clear" w:color="auto" w:fill="auto"/>
          </w:tcPr>
          <w:p w:rsidR="00A66BE7" w:rsidRPr="00E0168C" w:rsidRDefault="00A66BE7" w:rsidP="00A66BE7">
            <w:r w:rsidRPr="00E0168C">
              <w:t>Условия оплаты</w:t>
            </w:r>
          </w:p>
        </w:tc>
        <w:tc>
          <w:tcPr>
            <w:tcW w:w="7087" w:type="dxa"/>
            <w:shd w:val="clear" w:color="auto" w:fill="auto"/>
          </w:tcPr>
          <w:p w:rsidR="00A66BE7" w:rsidRPr="00E0168C" w:rsidRDefault="00A66BE7" w:rsidP="00A66BE7">
            <w:pPr>
              <w:pStyle w:val="a3"/>
              <w:spacing w:after="0"/>
              <w:rPr>
                <w:lang w:eastAsia="en-US"/>
              </w:rPr>
            </w:pPr>
            <w:r w:rsidRPr="00E0168C">
              <w:rPr>
                <w:lang w:eastAsia="en-US"/>
              </w:rPr>
              <w:t xml:space="preserve">Оплата производится путем перечисления на р/с Исполнителя. </w:t>
            </w:r>
          </w:p>
          <w:p w:rsidR="00A66BE7" w:rsidRPr="00E0168C" w:rsidRDefault="00A66BE7" w:rsidP="00A66BE7">
            <w:pPr>
              <w:pStyle w:val="a3"/>
              <w:spacing w:after="0"/>
              <w:rPr>
                <w:lang w:eastAsia="en-US"/>
              </w:rPr>
            </w:pPr>
          </w:p>
          <w:p w:rsidR="00A66BE7" w:rsidRPr="00E0168C" w:rsidRDefault="00A66BE7" w:rsidP="00A66BE7">
            <w:pPr>
              <w:pStyle w:val="a3"/>
              <w:spacing w:after="0"/>
              <w:rPr>
                <w:lang w:eastAsia="en-US"/>
              </w:rPr>
            </w:pPr>
            <w:r w:rsidRPr="00E0168C">
              <w:rPr>
                <w:lang w:eastAsia="en-US"/>
              </w:rPr>
              <w:t>Предпочтительно 100% оплата по факту оказания услуг и подписания соответствующих документов.</w:t>
            </w:r>
          </w:p>
          <w:p w:rsidR="00A66BE7" w:rsidRPr="00E0168C" w:rsidRDefault="00A66BE7" w:rsidP="00A66BE7">
            <w:pPr>
              <w:pStyle w:val="a3"/>
              <w:spacing w:after="0"/>
              <w:rPr>
                <w:lang w:eastAsia="en-US"/>
              </w:rPr>
            </w:pPr>
          </w:p>
        </w:tc>
      </w:tr>
      <w:tr w:rsidR="00A66BE7" w:rsidRPr="00E0168C" w:rsidTr="00DA020F">
        <w:trPr>
          <w:trHeight w:val="407"/>
        </w:trPr>
        <w:tc>
          <w:tcPr>
            <w:tcW w:w="2547" w:type="dxa"/>
            <w:shd w:val="clear" w:color="auto" w:fill="auto"/>
          </w:tcPr>
          <w:p w:rsidR="00A66BE7" w:rsidRPr="00E0168C" w:rsidRDefault="00A66BE7" w:rsidP="00A66BE7">
            <w:r w:rsidRPr="00E0168C">
              <w:t>Требования к упаковке/маркировке товара</w:t>
            </w:r>
          </w:p>
        </w:tc>
        <w:tc>
          <w:tcPr>
            <w:tcW w:w="7087" w:type="dxa"/>
            <w:shd w:val="clear" w:color="auto" w:fill="auto"/>
          </w:tcPr>
          <w:p w:rsidR="00A66BE7" w:rsidRPr="00E0168C" w:rsidRDefault="00E0168C" w:rsidP="00A66BE7">
            <w:pPr>
              <w:jc w:val="both"/>
            </w:pPr>
            <w:r w:rsidRPr="00E0168C">
              <w:rPr>
                <w:lang w:eastAsia="en-US"/>
              </w:rPr>
              <w:t>По 2</w:t>
            </w:r>
            <w:r w:rsidR="00A66BE7" w:rsidRPr="00E0168C">
              <w:rPr>
                <w:lang w:eastAsia="en-US"/>
              </w:rPr>
              <w:t>00 шт. в пачке.</w:t>
            </w:r>
          </w:p>
        </w:tc>
      </w:tr>
      <w:tr w:rsidR="00A66BE7" w:rsidRPr="00E0168C" w:rsidTr="00DA020F">
        <w:trPr>
          <w:trHeight w:val="285"/>
        </w:trPr>
        <w:tc>
          <w:tcPr>
            <w:tcW w:w="2547" w:type="dxa"/>
            <w:shd w:val="clear" w:color="auto" w:fill="auto"/>
          </w:tcPr>
          <w:p w:rsidR="00A66BE7" w:rsidRPr="00E0168C" w:rsidRDefault="00A66BE7" w:rsidP="00A66BE7">
            <w:pPr>
              <w:jc w:val="both"/>
            </w:pPr>
            <w:r w:rsidRPr="00E0168C">
              <w:t>Требования к сопроводительной документации. Необходимые приложения: документация, инструкции пользователя и т.д.</w:t>
            </w:r>
          </w:p>
          <w:p w:rsidR="00A66BE7" w:rsidRPr="00E0168C" w:rsidRDefault="00A66BE7" w:rsidP="00A66BE7">
            <w:pPr>
              <w:jc w:val="both"/>
            </w:pPr>
          </w:p>
        </w:tc>
        <w:tc>
          <w:tcPr>
            <w:tcW w:w="7087" w:type="dxa"/>
            <w:shd w:val="clear" w:color="auto" w:fill="auto"/>
          </w:tcPr>
          <w:p w:rsidR="00A66BE7" w:rsidRPr="00E0168C" w:rsidRDefault="00A66BE7" w:rsidP="00A66BE7">
            <w:pPr>
              <w:jc w:val="both"/>
            </w:pPr>
            <w:r w:rsidRPr="00E0168C">
              <w:rPr>
                <w:lang w:eastAsia="en-US"/>
              </w:rPr>
              <w:t xml:space="preserve">Наличие универсальных </w:t>
            </w:r>
            <w:bookmarkStart w:id="0" w:name="_GoBack"/>
            <w:bookmarkEnd w:id="0"/>
            <w:r w:rsidRPr="00E0168C">
              <w:rPr>
                <w:lang w:eastAsia="en-US"/>
              </w:rPr>
              <w:t>передаточных документов</w:t>
            </w:r>
            <w:r w:rsidRPr="00E0168C">
              <w:t xml:space="preserve"> </w:t>
            </w:r>
          </w:p>
        </w:tc>
      </w:tr>
      <w:tr w:rsidR="00E0168C" w:rsidRPr="00E0168C" w:rsidTr="00DA020F">
        <w:trPr>
          <w:trHeight w:val="285"/>
        </w:trPr>
        <w:tc>
          <w:tcPr>
            <w:tcW w:w="2547" w:type="dxa"/>
            <w:shd w:val="clear" w:color="auto" w:fill="auto"/>
          </w:tcPr>
          <w:p w:rsidR="00E0168C" w:rsidRPr="00E0168C" w:rsidRDefault="00E0168C" w:rsidP="00E0168C">
            <w:r w:rsidRPr="00E0168C">
              <w:t xml:space="preserve">Преференции </w:t>
            </w:r>
          </w:p>
          <w:p w:rsidR="00E0168C" w:rsidRPr="00E0168C" w:rsidRDefault="00E0168C" w:rsidP="00E0168C">
            <w:r w:rsidRPr="00E0168C">
              <w:t>(если применимо)</w:t>
            </w:r>
          </w:p>
          <w:p w:rsidR="00E0168C" w:rsidRPr="00E0168C" w:rsidRDefault="00E0168C" w:rsidP="00E0168C"/>
        </w:tc>
        <w:tc>
          <w:tcPr>
            <w:tcW w:w="7087" w:type="dxa"/>
            <w:shd w:val="clear" w:color="auto" w:fill="auto"/>
          </w:tcPr>
          <w:p w:rsidR="00E0168C" w:rsidRPr="00E0168C" w:rsidRDefault="00E0168C" w:rsidP="00E0168C">
            <w:pPr>
              <w:pStyle w:val="a3"/>
              <w:spacing w:after="0"/>
            </w:pPr>
            <w:r w:rsidRPr="00E0168C">
              <w:t xml:space="preserve">Производители/официальные дистрибьютеры </w:t>
            </w:r>
          </w:p>
        </w:tc>
      </w:tr>
      <w:tr w:rsidR="00E0168C" w:rsidRPr="00E0168C" w:rsidTr="00DA020F">
        <w:trPr>
          <w:trHeight w:val="285"/>
        </w:trPr>
        <w:tc>
          <w:tcPr>
            <w:tcW w:w="2547" w:type="dxa"/>
            <w:shd w:val="clear" w:color="auto" w:fill="auto"/>
          </w:tcPr>
          <w:p w:rsidR="00E0168C" w:rsidRPr="00E0168C" w:rsidRDefault="00E0168C" w:rsidP="00E0168C">
            <w:pPr>
              <w:shd w:val="clear" w:color="auto" w:fill="FFFFFF" w:themeFill="background1"/>
              <w:jc w:val="both"/>
            </w:pPr>
            <w:r w:rsidRPr="00E0168C">
              <w:t xml:space="preserve">Иное </w:t>
            </w:r>
          </w:p>
        </w:tc>
        <w:tc>
          <w:tcPr>
            <w:tcW w:w="7087" w:type="dxa"/>
            <w:shd w:val="clear" w:color="auto" w:fill="auto"/>
          </w:tcPr>
          <w:p w:rsidR="00E0168C" w:rsidRPr="00E0168C" w:rsidRDefault="00E0168C" w:rsidP="00E0168C">
            <w:pPr>
              <w:pStyle w:val="3"/>
              <w:numPr>
                <w:ilvl w:val="0"/>
                <w:numId w:val="0"/>
              </w:numPr>
              <w:spacing w:before="0"/>
              <w:ind w:left="14"/>
              <w:jc w:val="left"/>
            </w:pPr>
            <w:r w:rsidRPr="00E0168C">
              <w:t>-</w:t>
            </w:r>
          </w:p>
          <w:p w:rsidR="00E0168C" w:rsidRPr="00E0168C" w:rsidRDefault="00E0168C" w:rsidP="00E0168C">
            <w:pPr>
              <w:pStyle w:val="3"/>
              <w:numPr>
                <w:ilvl w:val="0"/>
                <w:numId w:val="0"/>
              </w:numPr>
              <w:spacing w:before="0"/>
              <w:ind w:left="14"/>
              <w:jc w:val="left"/>
              <w:rPr>
                <w:b/>
              </w:rPr>
            </w:pPr>
          </w:p>
        </w:tc>
      </w:tr>
    </w:tbl>
    <w:p w:rsidR="008E14B0" w:rsidRDefault="008E14B0" w:rsidP="008E14B0">
      <w:pPr>
        <w:pStyle w:val="a3"/>
        <w:spacing w:after="0"/>
        <w:jc w:val="center"/>
        <w:rPr>
          <w:lang w:eastAsia="en-US"/>
        </w:rPr>
      </w:pPr>
    </w:p>
    <w:p w:rsidR="008E14B0" w:rsidRDefault="008E14B0" w:rsidP="008E14B0">
      <w:pPr>
        <w:pStyle w:val="a3"/>
        <w:spacing w:after="0"/>
        <w:jc w:val="center"/>
        <w:rPr>
          <w:lang w:eastAsia="en-US"/>
        </w:rPr>
      </w:pPr>
    </w:p>
    <w:p w:rsidR="009C1F0E" w:rsidRDefault="009C1F0E"/>
    <w:sectPr w:rsidR="009C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0D"/>
    <w:multiLevelType w:val="hybridMultilevel"/>
    <w:tmpl w:val="E676F93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7963010"/>
    <w:multiLevelType w:val="hybridMultilevel"/>
    <w:tmpl w:val="D05AB79C"/>
    <w:lvl w:ilvl="0" w:tplc="6952F28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34B9A"/>
    <w:multiLevelType w:val="hybridMultilevel"/>
    <w:tmpl w:val="24BC8F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052CC"/>
    <w:multiLevelType w:val="hybridMultilevel"/>
    <w:tmpl w:val="2A0C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0FDE"/>
    <w:multiLevelType w:val="hybridMultilevel"/>
    <w:tmpl w:val="A2AE86BA"/>
    <w:lvl w:ilvl="0" w:tplc="45788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168E"/>
    <w:multiLevelType w:val="hybridMultilevel"/>
    <w:tmpl w:val="CEEE1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B0"/>
    <w:rsid w:val="000D25BF"/>
    <w:rsid w:val="001A1F6B"/>
    <w:rsid w:val="001F5A32"/>
    <w:rsid w:val="00201100"/>
    <w:rsid w:val="002A795D"/>
    <w:rsid w:val="00335EEE"/>
    <w:rsid w:val="006418DB"/>
    <w:rsid w:val="00696589"/>
    <w:rsid w:val="00760669"/>
    <w:rsid w:val="007911E2"/>
    <w:rsid w:val="008D1DF2"/>
    <w:rsid w:val="008E14B0"/>
    <w:rsid w:val="009C1F0E"/>
    <w:rsid w:val="00A66BE7"/>
    <w:rsid w:val="00AC422F"/>
    <w:rsid w:val="00C452FA"/>
    <w:rsid w:val="00E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0D9"/>
  <w15:chartTrackingRefBased/>
  <w15:docId w15:val="{A0B5917B-995D-43CE-B1BF-3B53FDD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1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ИС"/>
    <w:basedOn w:val="a"/>
    <w:link w:val="a4"/>
    <w:rsid w:val="008E14B0"/>
    <w:pPr>
      <w:spacing w:after="60"/>
      <w:jc w:val="both"/>
    </w:pPr>
  </w:style>
  <w:style w:type="paragraph" w:customStyle="1" w:styleId="1">
    <w:name w:val="Заголовок 1 БИС"/>
    <w:basedOn w:val="a"/>
    <w:rsid w:val="008E14B0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0"/>
    <w:rsid w:val="008E14B0"/>
    <w:pPr>
      <w:keepLines w:val="0"/>
      <w:numPr>
        <w:ilvl w:val="1"/>
        <w:numId w:val="1"/>
      </w:numPr>
      <w:tabs>
        <w:tab w:val="clear" w:pos="4401"/>
        <w:tab w:val="num" w:pos="360"/>
        <w:tab w:val="num" w:pos="432"/>
      </w:tabs>
      <w:spacing w:before="360" w:after="120"/>
      <w:ind w:left="432" w:firstLine="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Обычный БИС Знак"/>
    <w:link w:val="a3"/>
    <w:rsid w:val="008E1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Нумерация 3"/>
    <w:basedOn w:val="a"/>
    <w:rsid w:val="008E14B0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"/>
    <w:rsid w:val="008E14B0"/>
    <w:pPr>
      <w:numPr>
        <w:ilvl w:val="3"/>
        <w:numId w:val="1"/>
      </w:numPr>
      <w:tabs>
        <w:tab w:val="left" w:pos="1080"/>
      </w:tabs>
      <w:jc w:val="both"/>
    </w:pPr>
  </w:style>
  <w:style w:type="paragraph" w:styleId="a5">
    <w:name w:val="Body Text"/>
    <w:basedOn w:val="a"/>
    <w:link w:val="a6"/>
    <w:rsid w:val="008E14B0"/>
    <w:pPr>
      <w:spacing w:after="120"/>
    </w:pPr>
  </w:style>
  <w:style w:type="character" w:customStyle="1" w:styleId="a6">
    <w:name w:val="Основной текст Знак"/>
    <w:basedOn w:val="a0"/>
    <w:link w:val="a5"/>
    <w:rsid w:val="008E1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14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footnote reference"/>
    <w:rsid w:val="00201100"/>
    <w:rPr>
      <w:vertAlign w:val="superscript"/>
    </w:rPr>
  </w:style>
  <w:style w:type="paragraph" w:styleId="a8">
    <w:name w:val="List Paragraph"/>
    <w:basedOn w:val="a"/>
    <w:uiPriority w:val="34"/>
    <w:qFormat/>
    <w:rsid w:val="00A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Ирина Владимировна</dc:creator>
  <cp:keywords/>
  <dc:description/>
  <cp:lastModifiedBy>Буря Наталья Михайловна</cp:lastModifiedBy>
  <cp:revision>3</cp:revision>
  <dcterms:created xsi:type="dcterms:W3CDTF">2024-07-18T09:34:00Z</dcterms:created>
  <dcterms:modified xsi:type="dcterms:W3CDTF">2024-08-02T10:25:00Z</dcterms:modified>
</cp:coreProperties>
</file>