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7"/>
      </w:tblGrid>
      <w:tr w:rsidR="00A02322">
        <w:trPr>
          <w:trHeight w:val="23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top w:w="567" w:type="dxa"/>
              <w:left w:w="108" w:type="dxa"/>
              <w:bottom w:w="567" w:type="dxa"/>
              <w:right w:w="108" w:type="dxa"/>
            </w:tcMar>
          </w:tcPr>
          <w:p w:rsidR="00A02322" w:rsidRDefault="0072497F">
            <w:pPr>
              <w:rPr>
                <w:b/>
              </w:rPr>
            </w:pPr>
            <w:r>
              <w:rPr>
                <w:b/>
              </w:rPr>
              <w:t>1.</w:t>
            </w:r>
            <w:r>
              <w:t> </w:t>
            </w:r>
            <w:r>
              <w:rPr>
                <w:b/>
              </w:rPr>
              <w:t>Наименование товара:</w:t>
            </w:r>
          </w:p>
          <w:p w:rsidR="00A02322" w:rsidRDefault="0072497F">
            <w:pPr>
              <w:shd w:val="clear" w:color="auto" w:fill="FFFFFF"/>
              <w:outlineLvl w:val="0"/>
            </w:pPr>
            <w:r>
              <w:rPr>
                <w:b/>
              </w:rPr>
              <w:t>Сканеры</w:t>
            </w:r>
            <w:r>
              <w:t xml:space="preserve"> - Все типы сканеров.</w:t>
            </w:r>
          </w:p>
          <w:p w:rsidR="00A02322" w:rsidRDefault="00A02322">
            <w:pPr>
              <w:shd w:val="clear" w:color="auto" w:fill="FFFFFF"/>
              <w:outlineLvl w:val="0"/>
              <w:rPr>
                <w:color w:val="000000"/>
              </w:rPr>
            </w:pPr>
          </w:p>
          <w:p w:rsidR="00A02322" w:rsidRDefault="0072497F">
            <w:pPr>
              <w:rPr>
                <w:b/>
              </w:rPr>
            </w:pPr>
            <w:r>
              <w:rPr>
                <w:b/>
              </w:rPr>
              <w:t>2. Общие требования</w:t>
            </w:r>
          </w:p>
          <w:p w:rsidR="00A02322" w:rsidRDefault="0072497F">
            <w:r>
              <w:t xml:space="preserve">На все оборудование поставщиком должна быть представлена действующая декларация соответствия или сертификат соответствия Евро-Азиатского </w:t>
            </w:r>
            <w:r>
              <w:t>Таможенного Союза (Сертификат EAC) следующим техническим регламентам Таможенного союза:</w:t>
            </w:r>
          </w:p>
          <w:p w:rsidR="00A02322" w:rsidRDefault="0072497F">
            <w:pPr>
              <w:pStyle w:val="a5"/>
              <w:numPr>
                <w:ilvl w:val="0"/>
                <w:numId w:val="1"/>
              </w:numPr>
            </w:pPr>
            <w:proofErr w:type="gramStart"/>
            <w:r>
              <w:t>ТР</w:t>
            </w:r>
            <w:proofErr w:type="gramEnd"/>
            <w:r>
              <w:t xml:space="preserve"> ТС 004/2011 «О безопасности низковольтного оборудования»;</w:t>
            </w:r>
          </w:p>
          <w:p w:rsidR="00A02322" w:rsidRDefault="0072497F">
            <w:pPr>
              <w:pStyle w:val="a5"/>
              <w:numPr>
                <w:ilvl w:val="0"/>
                <w:numId w:val="1"/>
              </w:numPr>
              <w:outlineLvl w:val="0"/>
              <w:rPr>
                <w:color w:val="000000"/>
              </w:rPr>
            </w:pPr>
            <w:proofErr w:type="gramStart"/>
            <w:r>
              <w:t>ТР</w:t>
            </w:r>
            <w:proofErr w:type="gramEnd"/>
            <w:r>
              <w:t xml:space="preserve"> ТС 020/2011 «Электромагнитная совместимость технических средств».</w:t>
            </w:r>
          </w:p>
          <w:p w:rsidR="00A02322" w:rsidRDefault="00A02322"/>
          <w:p w:rsidR="00A02322" w:rsidRDefault="0072497F">
            <w:r>
              <w:rPr>
                <w:b/>
              </w:rPr>
              <w:t>3.</w:t>
            </w:r>
            <w:r>
              <w:t xml:space="preserve"> </w:t>
            </w:r>
            <w:r>
              <w:rPr>
                <w:b/>
              </w:rPr>
              <w:t>Требования к сканеру: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4507"/>
            </w:tblGrid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Кон</w:t>
                  </w:r>
                  <w:r>
                    <w:rPr>
                      <w:b/>
                    </w:rPr>
                    <w:t>фигурация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Тип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Сканер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Вид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Поточный сканер, Протяжный сканер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Формат оригинала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А</w:t>
                  </w:r>
                  <w:proofErr w:type="gramStart"/>
                  <w:r>
                    <w:t>4</w:t>
                  </w:r>
                  <w:proofErr w:type="gramEnd"/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Тип датчика сканера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CIS/CCD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Двустороннее сканирование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Наличие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Плотность оригиналов, подаваемых через ADF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27 - 209 г/м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  <w:r>
                    <w:t xml:space="preserve"> 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Скорость сканирования (</w:t>
                  </w:r>
                  <w:proofErr w:type="gramStart"/>
                  <w:r>
                    <w:t>ч</w:t>
                  </w:r>
                  <w:proofErr w:type="gramEnd"/>
                  <w:r>
                    <w:t xml:space="preserve"> / б)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Не менее 50 </w:t>
                  </w:r>
                  <w:r>
                    <w:t>стр./мин. при одностороннем сканировании (A4)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Скорость сканирования (</w:t>
                  </w:r>
                  <w:proofErr w:type="spellStart"/>
                  <w:r>
                    <w:t>цветн</w:t>
                  </w:r>
                  <w:proofErr w:type="spellEnd"/>
                  <w:r>
                    <w:t xml:space="preserve">.)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Не менее 50 стр./мин. при одностороннем сканировании (A4)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Оптическое разрешение сканера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Не менее 600x600 </w:t>
                  </w:r>
                  <w:proofErr w:type="spellStart"/>
                  <w:r>
                    <w:t>dpi</w:t>
                  </w:r>
                  <w:proofErr w:type="spellEnd"/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Глубина цвета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Не менее 24 бит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Оттенки </w:t>
                  </w:r>
                  <w:proofErr w:type="gramStart"/>
                  <w:r>
                    <w:t>серого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Не менее 16 бит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Тип источника света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LED светодиод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Поддержка стандартов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ISIS, TWAIN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Интерфейс USB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USB 2.0/3.0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Интерфейс </w:t>
                  </w:r>
                  <w:proofErr w:type="spellStart"/>
                  <w:r>
                    <w:t>Ethernet</w:t>
                  </w:r>
                  <w:proofErr w:type="spellEnd"/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RJ-45 </w:t>
                  </w:r>
                  <w:proofErr w:type="spellStart"/>
                  <w:r>
                    <w:t>Ethernet</w:t>
                  </w:r>
                  <w:proofErr w:type="spellEnd"/>
                  <w:r>
                    <w:t xml:space="preserve"> 10/100/1000 </w:t>
                  </w:r>
                  <w:proofErr w:type="spellStart"/>
                  <w:r>
                    <w:t>Mb</w:t>
                  </w:r>
                  <w:proofErr w:type="spellEnd"/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roofErr w:type="spellStart"/>
                  <w:r>
                    <w:t>Автоподатчик</w:t>
                  </w:r>
                  <w:proofErr w:type="spellEnd"/>
                  <w:r>
                    <w:t xml:space="preserve"> (ADF)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Есть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Тип устройства автоподачи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Двустороннее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Емкость устройства автоподачи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Не менее 60</w:t>
                  </w:r>
                  <w:r>
                    <w:t xml:space="preserve"> листов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Формат файла сканирования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BMP, JPEG, PDF, </w:t>
                  </w:r>
                  <w:proofErr w:type="spellStart"/>
                  <w:r>
                    <w:t>PowerPoint</w:t>
                  </w:r>
                  <w:proofErr w:type="spellEnd"/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Совместимость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roofErr w:type="spellStart"/>
                  <w:r>
                    <w:t>Windows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Astra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Linux</w:t>
                  </w:r>
                  <w:proofErr w:type="spellEnd"/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Комплектация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roofErr w:type="gramStart"/>
                  <w:r>
                    <w:t>Адаптер питания, диск с ПО, документация, кабель USB</w:t>
                  </w:r>
                  <w:proofErr w:type="gramEnd"/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 xml:space="preserve">Производительность 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Нагрузка в день 10000 операций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Особенности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r>
                    <w:t>Ультразвуковой датчик з</w:t>
                  </w:r>
                  <w:r>
                    <w:t>амятия бумаги</w:t>
                  </w:r>
                </w:p>
              </w:tc>
            </w:tr>
            <w:tr w:rsidR="00A02322">
              <w:tc>
                <w:tcPr>
                  <w:tcW w:w="3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Pr>
                    <w:widowControl w:val="0"/>
                    <w:shd w:val="clear" w:color="auto" w:fill="FFFFFF"/>
                  </w:pPr>
                  <w:r>
                    <w:t>Гарантия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Pr>
                    <w:widowControl w:val="0"/>
                    <w:shd w:val="clear" w:color="auto" w:fill="FFFFFF"/>
                  </w:pPr>
                  <w:r>
                    <w:t xml:space="preserve">Срок гарантийного обслуживания не менее 36 мес. </w:t>
                  </w:r>
                </w:p>
              </w:tc>
            </w:tr>
            <w:tr w:rsidR="00A02322">
              <w:tc>
                <w:tcPr>
                  <w:tcW w:w="39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Pr>
                    <w:widowControl w:val="0"/>
                    <w:shd w:val="clear" w:color="auto" w:fill="FFFFFF"/>
                  </w:pPr>
                  <w:r>
                    <w:t>Дополнительная информация</w:t>
                  </w: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Pr>
                    <w:widowControl w:val="0"/>
                    <w:shd w:val="clear" w:color="auto" w:fill="FFFFFF"/>
                  </w:pPr>
                  <w:r>
                    <w:t xml:space="preserve">Оборудование должно быть сертифицировано  по программе </w:t>
                  </w:r>
                  <w:proofErr w:type="spellStart"/>
                  <w:r>
                    <w:t>Ready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Linux</w:t>
                  </w:r>
                  <w:proofErr w:type="spellEnd"/>
                </w:p>
              </w:tc>
            </w:tr>
            <w:tr w:rsidR="00A02322">
              <w:tc>
                <w:tcPr>
                  <w:tcW w:w="39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A02322">
                  <w:pPr>
                    <w:widowControl w:val="0"/>
                    <w:shd w:val="clear" w:color="auto" w:fill="FFFFFF"/>
                  </w:pPr>
                </w:p>
              </w:tc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322" w:rsidRDefault="0072497F">
                  <w:pPr>
                    <w:widowControl w:val="0"/>
                    <w:shd w:val="clear" w:color="auto" w:fill="FFFFFF"/>
                  </w:pPr>
                  <w:r>
                    <w:t xml:space="preserve">Совместимость MS </w:t>
                  </w:r>
                  <w:proofErr w:type="spellStart"/>
                  <w:r>
                    <w:t>Windows</w:t>
                  </w:r>
                  <w:proofErr w:type="spellEnd"/>
                  <w:r>
                    <w:t xml:space="preserve"> 7,  </w:t>
                  </w:r>
                  <w:proofErr w:type="spellStart"/>
                  <w:r>
                    <w:t>Windows</w:t>
                  </w:r>
                  <w:proofErr w:type="spellEnd"/>
                  <w:r>
                    <w:t xml:space="preserve"> 10 и выше</w:t>
                  </w:r>
                </w:p>
              </w:tc>
            </w:tr>
          </w:tbl>
          <w:p w:rsidR="00A02322" w:rsidRDefault="00A02322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A02322" w:rsidRDefault="00A02322">
      <w:pPr>
        <w:rPr>
          <w:sz w:val="28"/>
        </w:rPr>
      </w:pPr>
      <w:bookmarkStart w:id="0" w:name="_GoBack"/>
      <w:bookmarkEnd w:id="0"/>
    </w:p>
    <w:p w:rsidR="00A02322" w:rsidRDefault="00A02322"/>
    <w:sectPr w:rsidR="00A02322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513"/>
    <w:multiLevelType w:val="hybridMultilevel"/>
    <w:tmpl w:val="3C0ACC2E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2322"/>
    <w:rsid w:val="0072497F"/>
    <w:rsid w:val="00A0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paragraph" w:styleId="a5">
    <w:name w:val="List Paragraph"/>
    <w:basedOn w:val="a"/>
    <w:pPr>
      <w:shd w:val="clear" w:color="auto" w:fill="FFFFFF"/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1">
    <w:name w:val="Основной шрифт абзаца1"/>
  </w:style>
  <w:style w:type="character" w:customStyle="1" w:styleId="a4">
    <w:name w:val="Текст выноски Знак"/>
    <w:link w:val="a3"/>
    <w:rPr>
      <w:rFonts w:ascii="Segoe UI" w:hAnsi="Segoe UI"/>
      <w:sz w:val="18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</cp:revision>
  <dcterms:created xsi:type="dcterms:W3CDTF">2024-11-11T06:47:00Z</dcterms:created>
  <dcterms:modified xsi:type="dcterms:W3CDTF">2024-11-11T06:47:00Z</dcterms:modified>
</cp:coreProperties>
</file>