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3E2B8D5E" w:rsidR="0065566F" w:rsidRPr="00091034" w:rsidRDefault="000A4EEA" w:rsidP="000A4EEA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A4EEA">
        <w:rPr>
          <w:rFonts w:ascii="Verdana" w:hAnsi="Verdana"/>
          <w:lang w:val="ru-RU"/>
        </w:rPr>
        <w:t xml:space="preserve">на оказание услуг </w:t>
      </w:r>
      <w:r w:rsidR="0065566F" w:rsidRPr="000A4EEA">
        <w:rPr>
          <w:rFonts w:ascii="Verdana" w:hAnsi="Verdana"/>
          <w:lang w:val="ru-RU"/>
        </w:rPr>
        <w:t xml:space="preserve">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091034" w:rsidRDefault="009946AE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1F1B4499" w:rsidR="00C46DEA" w:rsidRPr="00091034" w:rsidRDefault="009946AE" w:rsidP="000A4EEA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 xml:space="preserve">Описание </w:t>
            </w:r>
            <w:r w:rsidR="00C46DEA" w:rsidRPr="000A4EEA">
              <w:rPr>
                <w:rStyle w:val="ad"/>
                <w:rFonts w:ascii="Verdana" w:hAnsi="Verdana"/>
                <w:noProof/>
              </w:rPr>
              <w:t>услуг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091034" w:rsidRDefault="009946AE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091034" w:rsidRDefault="009946AE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091034" w:rsidRDefault="009946AE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3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091034" w:rsidRDefault="009946AE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Приложения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5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84854373"/>
      <w:r w:rsidRPr="00091034">
        <w:rPr>
          <w:rFonts w:ascii="Verdana" w:hAnsi="Verdana"/>
        </w:rPr>
        <w:t>Общие положения</w:t>
      </w:r>
      <w:bookmarkEnd w:id="20"/>
    </w:p>
    <w:p w14:paraId="672DC307" w14:textId="2BDF48E7" w:rsidR="00E249B8" w:rsidRPr="00091034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proofErr w:type="spellStart"/>
      <w:r w:rsidR="00D410C3" w:rsidRPr="00091034">
        <w:rPr>
          <w:rFonts w:ascii="Verdana" w:hAnsi="Verdana"/>
        </w:rPr>
        <w:t>agr</w:t>
      </w:r>
      <w:proofErr w:type="spellEnd"/>
      <w:r w:rsidR="00D410C3" w:rsidRPr="00091034">
        <w:rPr>
          <w:rFonts w:ascii="Verdana" w:hAnsi="Verdana"/>
          <w:lang w:val="ru-RU"/>
        </w:rPr>
        <w:t>.</w:t>
      </w:r>
      <w:proofErr w:type="spellStart"/>
      <w:r w:rsidR="00D410C3" w:rsidRPr="00091034">
        <w:rPr>
          <w:rFonts w:ascii="Verdana" w:hAnsi="Verdana"/>
        </w:rPr>
        <w:t>auto</w:t>
      </w:r>
      <w:proofErr w:type="spellEnd"/>
      <w:r w:rsidR="00D410C3" w:rsidRPr="00091034">
        <w:rPr>
          <w:rFonts w:ascii="Verdana" w:hAnsi="Verdana"/>
          <w:lang w:val="ru-RU"/>
        </w:rPr>
        <w:t>/</w:t>
      </w:r>
      <w:proofErr w:type="spellStart"/>
      <w:r w:rsidR="00D410C3" w:rsidRPr="00091034">
        <w:rPr>
          <w:rFonts w:ascii="Verdana" w:hAnsi="Verdana"/>
        </w:rPr>
        <w:t>purchase</w:t>
      </w:r>
      <w:proofErr w:type="spellEnd"/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119E3D0F" w:rsidR="00E249B8" w:rsidRPr="00091034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1B763677" w:rsidR="00881CA6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286AF4">
        <w:rPr>
          <w:rFonts w:ascii="Verdana" w:hAnsi="Verdana"/>
          <w:b/>
          <w:lang w:val="ru-RU"/>
        </w:rPr>
        <w:t>АГК</w:t>
      </w:r>
      <w:r w:rsidRPr="00091034">
        <w:rPr>
          <w:rFonts w:ascii="Verdana" w:hAnsi="Verdana"/>
          <w:lang w:val="ru-RU"/>
        </w:rPr>
        <w:t xml:space="preserve"> </w:t>
      </w:r>
    </w:p>
    <w:p w14:paraId="162AA675" w14:textId="77777777" w:rsidR="00BB1103" w:rsidRPr="00091034" w:rsidRDefault="00BB1103" w:rsidP="00881CA6">
      <w:pPr>
        <w:spacing w:after="0" w:line="240" w:lineRule="auto"/>
        <w:ind w:left="708"/>
        <w:rPr>
          <w:rFonts w:ascii="Verdana" w:hAnsi="Verdana"/>
          <w:lang w:val="ru-RU"/>
        </w:rPr>
      </w:pPr>
    </w:p>
    <w:p w14:paraId="398E0707" w14:textId="1023F41F" w:rsidR="00BB1103" w:rsidRDefault="00BB1103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Гришин Руслан +79200997473</w:t>
      </w:r>
    </w:p>
    <w:p w14:paraId="4E58FC36" w14:textId="77777777" w:rsidR="00BB1103" w:rsidRDefault="00BB1103" w:rsidP="00AF191D">
      <w:pPr>
        <w:spacing w:after="0" w:line="240" w:lineRule="auto"/>
        <w:ind w:left="708"/>
        <w:rPr>
          <w:rFonts w:ascii="Verdana" w:hAnsi="Verdana"/>
          <w:lang w:val="ru-RU"/>
        </w:rPr>
      </w:pPr>
    </w:p>
    <w:p w14:paraId="26DDFC2D" w14:textId="084E292B" w:rsidR="00F15009" w:rsidRPr="00091034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="00881CA6" w:rsidRPr="00091034">
        <w:rPr>
          <w:rFonts w:ascii="Verdana" w:hAnsi="Verdana"/>
          <w:lang w:val="ru-RU"/>
        </w:rPr>
        <w:t>3</w:t>
      </w:r>
      <w:r w:rsidRPr="00091034">
        <w:rPr>
          <w:rFonts w:ascii="Verdana" w:hAnsi="Verdana"/>
          <w:lang w:val="ru-RU"/>
        </w:rPr>
        <w:t xml:space="preserve">. </w:t>
      </w:r>
      <w:r w:rsidR="00881CA6" w:rsidRPr="00091034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15E1C831" w14:textId="5203AC49" w:rsidR="00881CA6" w:rsidRDefault="00BB1103" w:rsidP="00FF4F8F">
      <w:pPr>
        <w:tabs>
          <w:tab w:val="left" w:pos="1276"/>
        </w:tabs>
        <w:spacing w:after="0" w:line="240" w:lineRule="auto"/>
        <w:ind w:left="709"/>
        <w:rPr>
          <w:rFonts w:ascii="Verdana" w:hAnsi="Verdana" w:cs="Arial"/>
          <w:lang w:val="ru-RU"/>
        </w:rPr>
      </w:pPr>
      <w:r w:rsidRPr="00BB1103">
        <w:rPr>
          <w:rFonts w:ascii="Verdana" w:hAnsi="Verdana"/>
          <w:lang w:val="ru-RU"/>
        </w:rPr>
        <w:t xml:space="preserve">Проведение работ по сервисному </w:t>
      </w:r>
      <w:r w:rsidRPr="00BB1103">
        <w:rPr>
          <w:rFonts w:ascii="Verdana" w:hAnsi="Verdana" w:cs="Arial"/>
          <w:lang w:val="ru-RU"/>
        </w:rPr>
        <w:t xml:space="preserve">обслуживанию систем диспетчеризации оборудования инженерных систем </w:t>
      </w:r>
      <w:proofErr w:type="spellStart"/>
      <w:r w:rsidRPr="00BB1103">
        <w:rPr>
          <w:rFonts w:ascii="Verdana" w:hAnsi="Verdana" w:cs="Arial"/>
          <w:lang w:val="ru-RU"/>
        </w:rPr>
        <w:t>Desigo</w:t>
      </w:r>
      <w:proofErr w:type="spellEnd"/>
      <w:r w:rsidRPr="00BB1103">
        <w:rPr>
          <w:rFonts w:ascii="Verdana" w:hAnsi="Verdana" w:cs="Arial"/>
          <w:lang w:val="ru-RU"/>
        </w:rPr>
        <w:t xml:space="preserve"> </w:t>
      </w:r>
      <w:proofErr w:type="spellStart"/>
      <w:r w:rsidRPr="00BB1103">
        <w:rPr>
          <w:rFonts w:ascii="Verdana" w:hAnsi="Verdana" w:cs="Arial"/>
          <w:lang w:val="ru-RU"/>
        </w:rPr>
        <w:t>Insight</w:t>
      </w:r>
      <w:proofErr w:type="spellEnd"/>
      <w:r w:rsidRPr="00BB1103">
        <w:rPr>
          <w:rFonts w:ascii="Verdana" w:hAnsi="Verdana" w:cs="Arial"/>
          <w:lang w:val="ru-RU"/>
        </w:rPr>
        <w:t xml:space="preserve"> и </w:t>
      </w:r>
      <w:proofErr w:type="spellStart"/>
      <w:r w:rsidRPr="00BB1103">
        <w:rPr>
          <w:rFonts w:ascii="Verdana" w:hAnsi="Verdana" w:cs="Arial"/>
          <w:lang w:val="ru-RU"/>
        </w:rPr>
        <w:t>Desigo</w:t>
      </w:r>
      <w:proofErr w:type="spellEnd"/>
      <w:r w:rsidRPr="00BB1103">
        <w:rPr>
          <w:rFonts w:ascii="Verdana" w:hAnsi="Verdana" w:cs="Arial"/>
          <w:lang w:val="ru-RU"/>
        </w:rPr>
        <w:t xml:space="preserve"> СС</w:t>
      </w:r>
    </w:p>
    <w:p w14:paraId="71F5477B" w14:textId="77777777" w:rsidR="00BB1103" w:rsidRPr="00BB1103" w:rsidRDefault="00BB1103" w:rsidP="00FF4F8F">
      <w:pPr>
        <w:tabs>
          <w:tab w:val="left" w:pos="1276"/>
        </w:tabs>
        <w:spacing w:after="0" w:line="240" w:lineRule="auto"/>
        <w:ind w:left="709"/>
        <w:rPr>
          <w:rFonts w:ascii="Verdana" w:hAnsi="Verdana"/>
          <w:lang w:val="ru-RU"/>
        </w:rPr>
      </w:pPr>
    </w:p>
    <w:p w14:paraId="72D3FBE7" w14:textId="668B2F49" w:rsidR="00130983" w:rsidRPr="00091034" w:rsidRDefault="00881CA6" w:rsidP="00473D6C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473D6C">
        <w:rPr>
          <w:rFonts w:ascii="Verdana" w:hAnsi="Verdana"/>
        </w:rPr>
        <w:t>услуг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F409C46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 xml:space="preserve">Данное техническое задание является основой на оказание услуг по сервисному обслуживанию систем диспетчеризации оборудования инженерных систем </w:t>
      </w:r>
      <w:proofErr w:type="spellStart"/>
      <w:r w:rsidRPr="00FD6984">
        <w:rPr>
          <w:rFonts w:ascii="Verdana" w:hAnsi="Verdana"/>
          <w:lang w:val="ru-RU"/>
        </w:rPr>
        <w:t>Desigo</w:t>
      </w:r>
      <w:proofErr w:type="spellEnd"/>
      <w:r w:rsidRPr="00FD6984">
        <w:rPr>
          <w:rFonts w:ascii="Verdana" w:hAnsi="Verdana"/>
          <w:lang w:val="ru-RU"/>
        </w:rPr>
        <w:t xml:space="preserve"> </w:t>
      </w:r>
      <w:proofErr w:type="spellStart"/>
      <w:r w:rsidRPr="00FD6984">
        <w:rPr>
          <w:rFonts w:ascii="Verdana" w:hAnsi="Verdana"/>
          <w:lang w:val="ru-RU"/>
        </w:rPr>
        <w:t>Insight</w:t>
      </w:r>
      <w:proofErr w:type="spellEnd"/>
      <w:r w:rsidRPr="00FD6984">
        <w:rPr>
          <w:rFonts w:ascii="Verdana" w:hAnsi="Verdana"/>
          <w:lang w:val="ru-RU"/>
        </w:rPr>
        <w:t xml:space="preserve"> и </w:t>
      </w:r>
      <w:proofErr w:type="spellStart"/>
      <w:r w:rsidRPr="00FD6984">
        <w:rPr>
          <w:rFonts w:ascii="Verdana" w:hAnsi="Verdana"/>
          <w:lang w:val="ru-RU"/>
        </w:rPr>
        <w:t>Desigo</w:t>
      </w:r>
      <w:proofErr w:type="spellEnd"/>
      <w:r w:rsidRPr="00FD6984">
        <w:rPr>
          <w:rFonts w:ascii="Verdana" w:hAnsi="Verdana"/>
          <w:lang w:val="ru-RU"/>
        </w:rPr>
        <w:t xml:space="preserve"> СС.</w:t>
      </w:r>
    </w:p>
    <w:p w14:paraId="4CB81613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Условие предварительного осмотра мест оказания услуг является обязательным условием для участника тендера.</w:t>
      </w:r>
    </w:p>
    <w:p w14:paraId="4D33BF47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Перечень оборудования подлежащего техническому обслуживанию указан в Приложении 1.</w:t>
      </w:r>
    </w:p>
    <w:p w14:paraId="553DE19B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</w:p>
    <w:p w14:paraId="4204D6D8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Перечень оказываемых услуг по данному Техническому заданию включает в себя:</w:t>
      </w:r>
    </w:p>
    <w:p w14:paraId="4EB2E6A6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</w:p>
    <w:p w14:paraId="40474167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1) Техническое обслуживание один раз в три месяца.</w:t>
      </w:r>
    </w:p>
    <w:p w14:paraId="08A4D0C2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В данный вид услуг входит:</w:t>
      </w:r>
    </w:p>
    <w:p w14:paraId="35E948C4" w14:textId="131DE93D" w:rsid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 xml:space="preserve">- техническое обслуживание системы диспетчеризации оборудования инженерных систем на базе программных комплексов </w:t>
      </w:r>
      <w:proofErr w:type="spellStart"/>
      <w:r w:rsidRPr="00FD6984">
        <w:rPr>
          <w:rFonts w:ascii="Verdana" w:hAnsi="Verdana"/>
          <w:lang w:val="ru-RU"/>
        </w:rPr>
        <w:t>Desigo</w:t>
      </w:r>
      <w:proofErr w:type="spellEnd"/>
      <w:r w:rsidRPr="00FD6984">
        <w:rPr>
          <w:rFonts w:ascii="Verdana" w:hAnsi="Verdana"/>
          <w:lang w:val="ru-RU"/>
        </w:rPr>
        <w:t xml:space="preserve"> </w:t>
      </w:r>
      <w:proofErr w:type="spellStart"/>
      <w:r w:rsidRPr="00FD6984">
        <w:rPr>
          <w:rFonts w:ascii="Verdana" w:hAnsi="Verdana"/>
          <w:lang w:val="ru-RU"/>
        </w:rPr>
        <w:t>Insight</w:t>
      </w:r>
      <w:proofErr w:type="spellEnd"/>
      <w:r w:rsidRPr="00FD6984">
        <w:rPr>
          <w:rFonts w:ascii="Verdana" w:hAnsi="Verdana"/>
          <w:lang w:val="ru-RU"/>
        </w:rPr>
        <w:t xml:space="preserve"> и </w:t>
      </w:r>
      <w:proofErr w:type="spellStart"/>
      <w:r w:rsidRPr="00FD6984">
        <w:rPr>
          <w:rFonts w:ascii="Verdana" w:hAnsi="Verdana"/>
          <w:lang w:val="ru-RU"/>
        </w:rPr>
        <w:t>Desigo</w:t>
      </w:r>
      <w:proofErr w:type="spellEnd"/>
      <w:r w:rsidRPr="00FD6984">
        <w:rPr>
          <w:rFonts w:ascii="Verdana" w:hAnsi="Verdana"/>
          <w:lang w:val="ru-RU"/>
        </w:rPr>
        <w:t xml:space="preserve"> CC, разработки </w:t>
      </w:r>
      <w:proofErr w:type="spellStart"/>
      <w:r w:rsidRPr="00FD6984">
        <w:rPr>
          <w:rFonts w:ascii="Verdana" w:hAnsi="Verdana"/>
          <w:lang w:val="ru-RU"/>
        </w:rPr>
        <w:t>Siemens</w:t>
      </w:r>
      <w:proofErr w:type="spellEnd"/>
      <w:r w:rsidRPr="00FD6984">
        <w:rPr>
          <w:rFonts w:ascii="Verdana" w:hAnsi="Verdana"/>
          <w:lang w:val="ru-RU"/>
        </w:rPr>
        <w:t xml:space="preserve">,  а именно - создание резервных копий проектов </w:t>
      </w:r>
      <w:proofErr w:type="spellStart"/>
      <w:r w:rsidRPr="00FD6984">
        <w:rPr>
          <w:rFonts w:ascii="Verdana" w:hAnsi="Verdana"/>
          <w:lang w:val="ru-RU"/>
        </w:rPr>
        <w:t>Desigo</w:t>
      </w:r>
      <w:proofErr w:type="spellEnd"/>
      <w:r w:rsidRPr="00FD6984">
        <w:rPr>
          <w:rFonts w:ascii="Verdana" w:hAnsi="Verdana"/>
          <w:lang w:val="ru-RU"/>
        </w:rPr>
        <w:t xml:space="preserve"> </w:t>
      </w:r>
      <w:proofErr w:type="spellStart"/>
      <w:r w:rsidRPr="00FD6984">
        <w:rPr>
          <w:rFonts w:ascii="Verdana" w:hAnsi="Verdana"/>
          <w:lang w:val="ru-RU"/>
        </w:rPr>
        <w:t>Insight</w:t>
      </w:r>
      <w:proofErr w:type="spellEnd"/>
      <w:r w:rsidRPr="00FD6984">
        <w:rPr>
          <w:rFonts w:ascii="Verdana" w:hAnsi="Verdana"/>
          <w:lang w:val="ru-RU"/>
        </w:rPr>
        <w:t xml:space="preserve"> и </w:t>
      </w:r>
      <w:proofErr w:type="spellStart"/>
      <w:r w:rsidRPr="00FD6984">
        <w:rPr>
          <w:rFonts w:ascii="Verdana" w:hAnsi="Verdana"/>
          <w:lang w:val="ru-RU"/>
        </w:rPr>
        <w:t>Desigo</w:t>
      </w:r>
      <w:proofErr w:type="spellEnd"/>
      <w:r w:rsidRPr="00FD6984">
        <w:rPr>
          <w:rFonts w:ascii="Verdana" w:hAnsi="Verdana"/>
          <w:lang w:val="ru-RU"/>
        </w:rPr>
        <w:t xml:space="preserve"> CC (графические мнемосхемы, базы данных журнала операций, база тревог, база трендов); обслуживание баз данных систем, смотрите приложение 1.</w:t>
      </w:r>
    </w:p>
    <w:p w14:paraId="7D898DCB" w14:textId="78098A8F" w:rsidR="00286AF4" w:rsidRPr="00FD6984" w:rsidRDefault="00286AF4" w:rsidP="00FD6984">
      <w:pPr>
        <w:pStyle w:val="aa"/>
        <w:ind w:left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АГК не гарантирует заказ услуг по техническому обслуживанию 1 </w:t>
      </w:r>
      <w:bookmarkStart w:id="42" w:name="_GoBack"/>
      <w:bookmarkEnd w:id="42"/>
      <w:r>
        <w:rPr>
          <w:rFonts w:ascii="Verdana" w:hAnsi="Verdana"/>
          <w:lang w:val="ru-RU"/>
        </w:rPr>
        <w:t>раз в 3 месяца. Услуги будут заказываться по потребности.</w:t>
      </w:r>
    </w:p>
    <w:p w14:paraId="51995A13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</w:p>
    <w:p w14:paraId="032160B3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lastRenderedPageBreak/>
        <w:t>2) Аварийно-восстановительные услуги.</w:t>
      </w:r>
    </w:p>
    <w:p w14:paraId="328765AE" w14:textId="36FAD851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К аварийно-восстановительным услугам относятся те, которые в силу тех или иных обстоятельств не м</w:t>
      </w:r>
      <w:r w:rsidR="00BB1103">
        <w:rPr>
          <w:rFonts w:ascii="Verdana" w:hAnsi="Verdana"/>
          <w:lang w:val="ru-RU"/>
        </w:rPr>
        <w:t>огут быть выполнены персоналом А</w:t>
      </w:r>
      <w:r w:rsidR="00286AF4">
        <w:rPr>
          <w:rFonts w:ascii="Verdana" w:hAnsi="Verdana"/>
          <w:lang w:val="ru-RU"/>
        </w:rPr>
        <w:t>ГК</w:t>
      </w:r>
      <w:r w:rsidRPr="00FD6984">
        <w:rPr>
          <w:rFonts w:ascii="Verdana" w:hAnsi="Verdana"/>
          <w:lang w:val="ru-RU"/>
        </w:rPr>
        <w:t xml:space="preserve"> и выполняются по предварительной заявке, которая передается Контрагенту ответственными лицами из </w:t>
      </w:r>
      <w:proofErr w:type="spellStart"/>
      <w:r w:rsidRPr="00FD6984">
        <w:rPr>
          <w:rFonts w:ascii="Verdana" w:hAnsi="Verdana"/>
          <w:lang w:val="ru-RU"/>
        </w:rPr>
        <w:t>Энергомеханического</w:t>
      </w:r>
      <w:proofErr w:type="spellEnd"/>
      <w:r w:rsidRPr="00FD6984">
        <w:rPr>
          <w:rFonts w:ascii="Verdana" w:hAnsi="Verdana"/>
          <w:lang w:val="ru-RU"/>
        </w:rPr>
        <w:t xml:space="preserve"> отдела в письменной или устной форме.</w:t>
      </w:r>
    </w:p>
    <w:p w14:paraId="0F5495F7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Все аварии (неисправности смонтированного оборудования, которые могут повлиять на работу технологического оборудования и простой производства)  подлежат внеочередному устранению.</w:t>
      </w:r>
    </w:p>
    <w:p w14:paraId="3B09CF5E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При возникновении аварии должны быть выполнены следующие срочные мероприятия:</w:t>
      </w:r>
    </w:p>
    <w:p w14:paraId="02650A31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а) локализация аварии;</w:t>
      </w:r>
    </w:p>
    <w:p w14:paraId="7944A063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в) техническое диагностирование причины аварии;</w:t>
      </w:r>
    </w:p>
    <w:p w14:paraId="58C9E4B6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 xml:space="preserve">г) производство ремонтно-восстановительных услуг. </w:t>
      </w:r>
    </w:p>
    <w:p w14:paraId="5457F681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 xml:space="preserve">Услуги по локализации и ликвидации аварийных ситуаций выполняются аварийными бригадами Контрагента, при необходимости с привлечением подрядных специализированных организаций, в </w:t>
      </w:r>
      <w:proofErr w:type="spellStart"/>
      <w:r w:rsidRPr="00FD6984">
        <w:rPr>
          <w:rFonts w:ascii="Verdana" w:hAnsi="Verdana"/>
          <w:lang w:val="ru-RU"/>
        </w:rPr>
        <w:t>т.ч</w:t>
      </w:r>
      <w:proofErr w:type="spellEnd"/>
      <w:r w:rsidRPr="00FD6984">
        <w:rPr>
          <w:rFonts w:ascii="Verdana" w:hAnsi="Verdana"/>
          <w:lang w:val="ru-RU"/>
        </w:rPr>
        <w:t>. специалистами ЭМО (</w:t>
      </w:r>
      <w:proofErr w:type="spellStart"/>
      <w:r w:rsidRPr="00FD6984">
        <w:rPr>
          <w:rFonts w:ascii="Verdana" w:hAnsi="Verdana"/>
          <w:lang w:val="ru-RU"/>
        </w:rPr>
        <w:t>Энерго</w:t>
      </w:r>
      <w:proofErr w:type="spellEnd"/>
      <w:r w:rsidRPr="00FD6984">
        <w:rPr>
          <w:rFonts w:ascii="Verdana" w:hAnsi="Verdana"/>
          <w:lang w:val="ru-RU"/>
        </w:rPr>
        <w:t>-механический отдел).</w:t>
      </w:r>
    </w:p>
    <w:p w14:paraId="4D988B47" w14:textId="11839D9F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При</w:t>
      </w:r>
      <w:r w:rsidR="00C53D03">
        <w:rPr>
          <w:rFonts w:ascii="Verdana" w:hAnsi="Verdana"/>
          <w:lang w:val="ru-RU"/>
        </w:rPr>
        <w:t xml:space="preserve"> фиксации аварии специалистами А</w:t>
      </w:r>
      <w:r w:rsidR="00286AF4">
        <w:rPr>
          <w:rFonts w:ascii="Verdana" w:hAnsi="Verdana"/>
          <w:lang w:val="ru-RU"/>
        </w:rPr>
        <w:t>ГК</w:t>
      </w:r>
      <w:r w:rsidRPr="00FD6984">
        <w:rPr>
          <w:rFonts w:ascii="Verdana" w:hAnsi="Verdana"/>
          <w:lang w:val="ru-RU"/>
        </w:rPr>
        <w:t xml:space="preserve"> сообщение об этом передается ответственным лицам Контрагента. Время реакции на сообщение должно составлять не более 24 часов с момента поступления сообщения.</w:t>
      </w:r>
    </w:p>
    <w:p w14:paraId="70240984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Под временем реакции понимается время от момента поступления сообщения об аварии до момента прибытия на объект и начала выполнения услуг по диагностированию аварии.</w:t>
      </w:r>
    </w:p>
    <w:p w14:paraId="318E0E48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В течение 6 часов с момента прибытия на объект Контрагент обязан выдать Аварийный акт с указанием:</w:t>
      </w:r>
    </w:p>
    <w:p w14:paraId="31C6A76A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- причины аварии;</w:t>
      </w:r>
    </w:p>
    <w:p w14:paraId="2D115D62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- перечень необходимых запасных частей и материалов, необходимых для ликвидации аварии;</w:t>
      </w:r>
    </w:p>
    <w:p w14:paraId="0E384435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- примерные сроки устранения аварии;</w:t>
      </w:r>
    </w:p>
    <w:p w14:paraId="1F9D634C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- мероприятия по предотвращению подобных аварий в будущем.</w:t>
      </w:r>
    </w:p>
    <w:p w14:paraId="73F71D5E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</w:p>
    <w:p w14:paraId="6A2E9948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2) Услуги по модернизации и корректировке программного обеспечения.</w:t>
      </w:r>
    </w:p>
    <w:p w14:paraId="18BB3BFF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t>К данному виду услуг относятся услуги, необходимость выполнения которых появилась в процессе эксплуатации оборудования инженерных систем и/или модернизации оборудования инженерных систем.</w:t>
      </w:r>
    </w:p>
    <w:p w14:paraId="61F95B22" w14:textId="1329C06E" w:rsidR="00FD6984" w:rsidRDefault="00FD6984" w:rsidP="00FD6984">
      <w:pPr>
        <w:pStyle w:val="aa"/>
        <w:ind w:left="709"/>
        <w:rPr>
          <w:rFonts w:ascii="Verdana" w:hAnsi="Verdana"/>
          <w:lang w:val="ru-RU"/>
        </w:rPr>
      </w:pPr>
      <w:r w:rsidRPr="00FD6984">
        <w:rPr>
          <w:rFonts w:ascii="Verdana" w:hAnsi="Verdana"/>
          <w:lang w:val="ru-RU"/>
        </w:rPr>
        <w:lastRenderedPageBreak/>
        <w:t xml:space="preserve"> Данные услуги выполняются по предварительной заявке. На данном этапе согласовывается объем выполняемых услуг и количество нормо-часов, необходимых для выполнения данной услуги.</w:t>
      </w:r>
    </w:p>
    <w:p w14:paraId="43C7F342" w14:textId="2DC5E3AF" w:rsidR="00FD6984" w:rsidRDefault="00FD6984" w:rsidP="00FD6984">
      <w:pPr>
        <w:pStyle w:val="aa"/>
        <w:ind w:left="709"/>
        <w:rPr>
          <w:rFonts w:ascii="Verdana" w:hAnsi="Verdana"/>
          <w:lang w:val="ru-RU"/>
        </w:rPr>
      </w:pPr>
    </w:p>
    <w:p w14:paraId="1BBC6EEB" w14:textId="77777777" w:rsidR="00FD6984" w:rsidRPr="00FD6984" w:rsidRDefault="00FD6984" w:rsidP="00FD6984">
      <w:pPr>
        <w:pStyle w:val="aa"/>
        <w:ind w:left="709"/>
        <w:rPr>
          <w:rFonts w:ascii="Verdana" w:hAnsi="Verdana"/>
          <w:lang w:val="ru-RU"/>
        </w:rPr>
      </w:pPr>
    </w:p>
    <w:p w14:paraId="64141B8D" w14:textId="77777777" w:rsidR="00FF4F8F" w:rsidRPr="00AC1714" w:rsidRDefault="00FF4F8F" w:rsidP="00FF4F8F">
      <w:pPr>
        <w:pStyle w:val="aa"/>
        <w:ind w:left="709"/>
        <w:rPr>
          <w:rFonts w:ascii="Verdana" w:hAnsi="Verdana"/>
          <w:lang w:val="ru-RU"/>
        </w:rPr>
      </w:pPr>
    </w:p>
    <w:p w14:paraId="797DA9D4" w14:textId="222DD57F" w:rsidR="00061BB7" w:rsidRPr="00091034" w:rsidRDefault="00061BB7" w:rsidP="00A42DCC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Место </w:t>
      </w:r>
      <w:r w:rsidRPr="00A42DCC">
        <w:rPr>
          <w:rFonts w:ascii="Verdana" w:hAnsi="Verdana"/>
          <w:lang w:val="ru-RU"/>
        </w:rPr>
        <w:t>оказания услуг</w:t>
      </w:r>
      <w:r w:rsidR="00FD6984">
        <w:rPr>
          <w:rFonts w:ascii="Verdana" w:hAnsi="Verdana"/>
          <w:lang w:val="ru-RU"/>
        </w:rPr>
        <w:t>:</w:t>
      </w:r>
    </w:p>
    <w:p w14:paraId="7030EFCE" w14:textId="77777777" w:rsidR="00FD6984" w:rsidRDefault="00A42DCC" w:rsidP="00AF191D">
      <w:pPr>
        <w:spacing w:after="0" w:line="240" w:lineRule="auto"/>
        <w:ind w:left="567" w:firstLine="709"/>
        <w:rPr>
          <w:rFonts w:ascii="Verdana" w:hAnsi="Verdana"/>
          <w:i/>
          <w:color w:val="0070C0"/>
          <w:lang w:val="ru-RU"/>
        </w:rPr>
      </w:pPr>
      <w:proofErr w:type="spellStart"/>
      <w:r>
        <w:rPr>
          <w:rFonts w:ascii="Verdana" w:hAnsi="Verdana"/>
          <w:lang w:val="ru-RU"/>
        </w:rPr>
        <w:t>г.Калуга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ул.Автомобильная</w:t>
      </w:r>
      <w:proofErr w:type="spellEnd"/>
      <w:r>
        <w:rPr>
          <w:rFonts w:ascii="Verdana" w:hAnsi="Verdana"/>
          <w:lang w:val="ru-RU"/>
        </w:rPr>
        <w:t xml:space="preserve"> 1</w:t>
      </w:r>
      <w:r w:rsidR="00207AEF" w:rsidRPr="00091034" w:rsidDel="00E32B21">
        <w:rPr>
          <w:rFonts w:ascii="Verdana" w:hAnsi="Verdana"/>
          <w:color w:val="0070C0"/>
          <w:lang w:val="ru-RU"/>
        </w:rPr>
        <w:t xml:space="preserve"> </w:t>
      </w:r>
      <w:r w:rsidR="00D15D5B" w:rsidRPr="00091034">
        <w:rPr>
          <w:rFonts w:ascii="Verdana" w:hAnsi="Verdana"/>
          <w:i/>
          <w:color w:val="0070C0"/>
          <w:lang w:val="ru-RU"/>
        </w:rPr>
        <w:t xml:space="preserve"> </w:t>
      </w:r>
    </w:p>
    <w:p w14:paraId="558978D3" w14:textId="0C172D49" w:rsidR="00130983" w:rsidRPr="00091034" w:rsidRDefault="00207AEF" w:rsidP="00AF191D">
      <w:pPr>
        <w:spacing w:after="0" w:line="240" w:lineRule="auto"/>
        <w:ind w:left="567"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i/>
          <w:color w:val="0070C0"/>
          <w:lang w:val="ru-RU"/>
        </w:rPr>
        <w:t xml:space="preserve"> </w:t>
      </w:r>
      <w:r w:rsidR="0043359F" w:rsidRPr="00091034">
        <w:rPr>
          <w:rFonts w:ascii="Verdana" w:hAnsi="Verdana"/>
          <w:i/>
          <w:color w:val="0070C0"/>
          <w:lang w:val="ru-RU"/>
        </w:rPr>
        <w:t xml:space="preserve"> </w:t>
      </w:r>
    </w:p>
    <w:p w14:paraId="78AFA85E" w14:textId="7E340B0D" w:rsidR="00881CA6" w:rsidRDefault="00FD6984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2.</w:t>
      </w:r>
      <w:r w:rsidR="00881CA6" w:rsidRPr="00091034">
        <w:rPr>
          <w:rFonts w:ascii="Verdana" w:hAnsi="Verdana"/>
          <w:lang w:val="ru-RU"/>
        </w:rPr>
        <w:t>.  Обязанности Контрагента</w:t>
      </w:r>
      <w:r>
        <w:rPr>
          <w:rFonts w:ascii="Verdana" w:hAnsi="Verdana"/>
          <w:lang w:val="ru-RU"/>
        </w:rPr>
        <w:t>:</w:t>
      </w:r>
    </w:p>
    <w:p w14:paraId="2F7EB9A5" w14:textId="77777777" w:rsidR="00FD6984" w:rsidRPr="00091034" w:rsidRDefault="00FD6984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</w:p>
    <w:p w14:paraId="27DB573B" w14:textId="685512A0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/>
          <w:bCs/>
          <w:lang w:val="ru-RU"/>
        </w:rPr>
      </w:pPr>
      <w:bookmarkStart w:id="43" w:name="_Toc84854376"/>
      <w:bookmarkStart w:id="44" w:name="_Toc84854377"/>
      <w:bookmarkEnd w:id="43"/>
      <w:r>
        <w:rPr>
          <w:rFonts w:ascii="Verdana" w:hAnsi="Verdana"/>
          <w:bCs/>
          <w:lang w:val="ru-RU"/>
        </w:rPr>
        <w:t>2.3</w:t>
      </w:r>
      <w:r w:rsidRPr="00FD6984">
        <w:rPr>
          <w:rFonts w:ascii="Verdana" w:hAnsi="Verdana"/>
          <w:bCs/>
          <w:lang w:val="ru-RU"/>
        </w:rPr>
        <w:t>.1.назначить представителя Контрагента</w:t>
      </w:r>
    </w:p>
    <w:p w14:paraId="24AE49F4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Для контроля за качеством оказываемых Услуг, принятия оперативных решений в ходе выполнения услуг, Контрагент назначает своего представителя (руководителя работ), который обязан:</w:t>
      </w:r>
    </w:p>
    <w:p w14:paraId="4D57CF1C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присутствовать в месте выполнения Услуг в  период проведения Услуг;</w:t>
      </w:r>
    </w:p>
    <w:p w14:paraId="3CB14B3A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производить соответствующие мероприятия, обеспечивающие контроль за качеством и сроками оказания Услуг;</w:t>
      </w:r>
    </w:p>
    <w:p w14:paraId="789FB2AE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принимать решения для оперативного устранения дефектов и недостатков в процессе оказания Услуг;</w:t>
      </w:r>
    </w:p>
    <w:p w14:paraId="2196A969" w14:textId="76E60D33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•</w:t>
      </w:r>
      <w:r>
        <w:rPr>
          <w:rFonts w:ascii="Verdana" w:hAnsi="Verdana" w:cs="Arial"/>
          <w:lang w:val="ru-RU"/>
        </w:rPr>
        <w:tab/>
        <w:t>по требованию А</w:t>
      </w:r>
      <w:r w:rsidR="00286AF4">
        <w:rPr>
          <w:rFonts w:ascii="Verdana" w:hAnsi="Verdana" w:cs="Arial"/>
          <w:lang w:val="ru-RU"/>
        </w:rPr>
        <w:t>ГК</w:t>
      </w:r>
      <w:r w:rsidRPr="00FD6984">
        <w:rPr>
          <w:rFonts w:ascii="Verdana" w:hAnsi="Verdana" w:cs="Arial"/>
          <w:lang w:val="ru-RU"/>
        </w:rPr>
        <w:t xml:space="preserve"> вести и предоставлять журнал оказанных Услуг, в соответствии с планом-графиком;</w:t>
      </w:r>
    </w:p>
    <w:p w14:paraId="2BEDDFB6" w14:textId="59337232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обеспечить коммуникацию (устную и письменную) на р</w:t>
      </w:r>
      <w:r>
        <w:rPr>
          <w:rFonts w:ascii="Verdana" w:hAnsi="Verdana" w:cs="Arial"/>
          <w:lang w:val="ru-RU"/>
        </w:rPr>
        <w:t>усском языке с представителями А</w:t>
      </w:r>
      <w:r w:rsidR="00286AF4">
        <w:rPr>
          <w:rFonts w:ascii="Verdana" w:hAnsi="Verdana" w:cs="Arial"/>
          <w:lang w:val="ru-RU"/>
        </w:rPr>
        <w:t>ГК</w:t>
      </w:r>
      <w:r w:rsidRPr="00FD6984">
        <w:rPr>
          <w:rFonts w:ascii="Verdana" w:hAnsi="Verdana" w:cs="Arial"/>
          <w:lang w:val="ru-RU"/>
        </w:rPr>
        <w:t>.</w:t>
      </w:r>
    </w:p>
    <w:p w14:paraId="5FAC164B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</w:p>
    <w:p w14:paraId="67E01888" w14:textId="189F8F46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2.4</w:t>
      </w:r>
      <w:r w:rsidRPr="00FD6984">
        <w:rPr>
          <w:rFonts w:ascii="Verdana" w:hAnsi="Verdana" w:cs="Arial"/>
          <w:lang w:val="ru-RU"/>
        </w:rPr>
        <w:t>.2</w:t>
      </w:r>
      <w:r>
        <w:rPr>
          <w:rFonts w:ascii="Verdana" w:hAnsi="Verdana" w:cs="Arial"/>
          <w:lang w:val="ru-RU"/>
        </w:rPr>
        <w:t>. Предоставить и согласовать с А</w:t>
      </w:r>
      <w:r w:rsidR="00286AF4">
        <w:rPr>
          <w:rFonts w:ascii="Verdana" w:hAnsi="Verdana" w:cs="Arial"/>
          <w:lang w:val="ru-RU"/>
        </w:rPr>
        <w:t>ГК</w:t>
      </w:r>
      <w:r w:rsidRPr="00FD6984">
        <w:rPr>
          <w:rFonts w:ascii="Verdana" w:hAnsi="Verdana" w:cs="Arial"/>
          <w:lang w:val="ru-RU"/>
        </w:rPr>
        <w:t xml:space="preserve"> план-график выполняемых услуг и </w:t>
      </w:r>
      <w:proofErr w:type="spellStart"/>
      <w:r w:rsidRPr="00FD6984">
        <w:rPr>
          <w:rFonts w:ascii="Verdana" w:hAnsi="Verdana" w:cs="Arial"/>
          <w:lang w:val="ru-RU"/>
        </w:rPr>
        <w:t>органиграмму</w:t>
      </w:r>
      <w:proofErr w:type="spellEnd"/>
      <w:r w:rsidRPr="00FD6984">
        <w:rPr>
          <w:rFonts w:ascii="Verdana" w:hAnsi="Verdana" w:cs="Arial"/>
          <w:lang w:val="ru-RU"/>
        </w:rPr>
        <w:t xml:space="preserve"> ответственных представителей Контрагента</w:t>
      </w:r>
    </w:p>
    <w:p w14:paraId="1B19F8B8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Перед началом выполнения Услуг по проекту Контрагент обязан предоставить:</w:t>
      </w:r>
    </w:p>
    <w:p w14:paraId="4E67601E" w14:textId="75C2D56C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Подробный план-график выполняемых Услуг</w:t>
      </w:r>
      <w:r>
        <w:rPr>
          <w:rFonts w:ascii="Verdana" w:hAnsi="Verdana" w:cs="Arial"/>
          <w:lang w:val="ru-RU"/>
        </w:rPr>
        <w:t xml:space="preserve"> для согласования с А</w:t>
      </w:r>
      <w:r w:rsidR="00286AF4">
        <w:rPr>
          <w:rFonts w:ascii="Verdana" w:hAnsi="Verdana" w:cs="Arial"/>
          <w:lang w:val="ru-RU"/>
        </w:rPr>
        <w:t>ГК</w:t>
      </w:r>
      <w:r w:rsidRPr="00FD6984">
        <w:rPr>
          <w:rFonts w:ascii="Verdana" w:hAnsi="Verdana" w:cs="Arial"/>
          <w:lang w:val="ru-RU"/>
        </w:rPr>
        <w:t>, составленный с учётом и в рамках срока выпол</w:t>
      </w:r>
      <w:r w:rsidR="00BB1103">
        <w:rPr>
          <w:rFonts w:ascii="Verdana" w:hAnsi="Verdana" w:cs="Arial"/>
          <w:lang w:val="ru-RU"/>
        </w:rPr>
        <w:t>нения Услуг, указанного в п. 3</w:t>
      </w:r>
      <w:r w:rsidRPr="00FD6984">
        <w:rPr>
          <w:rFonts w:ascii="Verdana" w:hAnsi="Verdana" w:cs="Arial"/>
          <w:lang w:val="ru-RU"/>
        </w:rPr>
        <w:t xml:space="preserve"> ТЗ; </w:t>
      </w:r>
    </w:p>
    <w:p w14:paraId="6EDF3E5B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lastRenderedPageBreak/>
        <w:t>•</w:t>
      </w:r>
      <w:r w:rsidRPr="00FD6984">
        <w:rPr>
          <w:rFonts w:ascii="Verdana" w:hAnsi="Verdana" w:cs="Arial"/>
          <w:lang w:val="ru-RU"/>
        </w:rPr>
        <w:tab/>
      </w:r>
      <w:proofErr w:type="spellStart"/>
      <w:r w:rsidRPr="00FD6984">
        <w:rPr>
          <w:rFonts w:ascii="Verdana" w:hAnsi="Verdana" w:cs="Arial"/>
          <w:lang w:val="ru-RU"/>
        </w:rPr>
        <w:t>Органиграмму</w:t>
      </w:r>
      <w:proofErr w:type="spellEnd"/>
      <w:r w:rsidRPr="00FD6984">
        <w:rPr>
          <w:rFonts w:ascii="Verdana" w:hAnsi="Verdana" w:cs="Arial"/>
          <w:lang w:val="ru-RU"/>
        </w:rPr>
        <w:t xml:space="preserve"> с указанием ответственных представителей Контрагента и их контактных данных.</w:t>
      </w:r>
    </w:p>
    <w:p w14:paraId="056812A3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</w:p>
    <w:p w14:paraId="049FA826" w14:textId="710C6E92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2.4</w:t>
      </w:r>
      <w:r w:rsidRPr="00FD6984">
        <w:rPr>
          <w:rFonts w:ascii="Verdana" w:hAnsi="Verdana" w:cs="Arial"/>
          <w:lang w:val="ru-RU"/>
        </w:rPr>
        <w:t>.3. предоставить технический отчёт, исполнительную документацию</w:t>
      </w:r>
      <w:r>
        <w:rPr>
          <w:rFonts w:ascii="Verdana" w:hAnsi="Verdana" w:cs="Arial"/>
          <w:lang w:val="ru-RU"/>
        </w:rPr>
        <w:t xml:space="preserve"> по требованию А</w:t>
      </w:r>
      <w:r w:rsidR="00286AF4">
        <w:rPr>
          <w:rFonts w:ascii="Verdana" w:hAnsi="Verdana" w:cs="Arial"/>
          <w:lang w:val="ru-RU"/>
        </w:rPr>
        <w:t>ГК</w:t>
      </w:r>
    </w:p>
    <w:p w14:paraId="7C025E5E" w14:textId="31D8F395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 xml:space="preserve">До подписания акта об оказании Услуг </w:t>
      </w:r>
      <w:r>
        <w:rPr>
          <w:rFonts w:ascii="Verdana" w:hAnsi="Verdana" w:cs="Arial"/>
          <w:lang w:val="ru-RU"/>
        </w:rPr>
        <w:t>Контрагент должен предоставить А</w:t>
      </w:r>
      <w:r w:rsidR="00286AF4">
        <w:rPr>
          <w:rFonts w:ascii="Verdana" w:hAnsi="Verdana" w:cs="Arial"/>
          <w:lang w:val="ru-RU"/>
        </w:rPr>
        <w:t>ГК</w:t>
      </w:r>
      <w:r w:rsidRPr="00FD6984">
        <w:rPr>
          <w:rFonts w:ascii="Verdana" w:hAnsi="Verdana" w:cs="Arial"/>
          <w:lang w:val="ru-RU"/>
        </w:rPr>
        <w:t>:</w:t>
      </w:r>
    </w:p>
    <w:p w14:paraId="01EB2E91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технический отчет;</w:t>
      </w:r>
    </w:p>
    <w:p w14:paraId="3666323D" w14:textId="05DD3AC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протоколы испытаний, подписанные в зависимости от существующих требований законодательства либо соответствующим сертифицирующим органом, либо единолично Контрагентом, либо совместно К</w:t>
      </w:r>
      <w:r>
        <w:rPr>
          <w:rFonts w:ascii="Verdana" w:hAnsi="Verdana" w:cs="Arial"/>
          <w:lang w:val="ru-RU"/>
        </w:rPr>
        <w:t>онтрагентом и  уполномоченным  А</w:t>
      </w:r>
      <w:r w:rsidR="00286AF4">
        <w:rPr>
          <w:rFonts w:ascii="Verdana" w:hAnsi="Verdana" w:cs="Arial"/>
          <w:lang w:val="ru-RU"/>
        </w:rPr>
        <w:t>ГК</w:t>
      </w:r>
      <w:r w:rsidRPr="00FD6984">
        <w:rPr>
          <w:rFonts w:ascii="Verdana" w:hAnsi="Verdana" w:cs="Arial"/>
          <w:lang w:val="ru-RU"/>
        </w:rPr>
        <w:t xml:space="preserve"> лицом;</w:t>
      </w:r>
    </w:p>
    <w:p w14:paraId="09A22588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исполнительную документацию с актуальными данными по выполненным Услугам. Стоимость составления документации Контрагент должен выделить в коммерческом предложении отдельной строкой либо указать, что она включена в стоимость Услуг.</w:t>
      </w:r>
    </w:p>
    <w:p w14:paraId="2C8694F2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•</w:t>
      </w:r>
      <w:r w:rsidRPr="00FD6984">
        <w:rPr>
          <w:rFonts w:ascii="Verdana" w:hAnsi="Verdana" w:cs="Arial"/>
          <w:lang w:val="ru-RU"/>
        </w:rPr>
        <w:tab/>
        <w:t>всю необходимую в соответствие с требованиями законодательства РФ техническую и разрешительную документации, лицензии, сертификаты и т.п. на используемые при выполнении Услуг материалы, оборудование, поставляемый товар.</w:t>
      </w:r>
    </w:p>
    <w:p w14:paraId="420CC6C7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</w:p>
    <w:p w14:paraId="7F32A957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>2.1.4.</w:t>
      </w:r>
      <w:r w:rsidRPr="00FD6984">
        <w:rPr>
          <w:rFonts w:ascii="Verdana" w:hAnsi="Verdana"/>
          <w:lang w:val="ru-RU"/>
        </w:rPr>
        <w:t xml:space="preserve"> </w:t>
      </w:r>
      <w:r w:rsidRPr="00FD6984">
        <w:rPr>
          <w:rFonts w:ascii="Verdana" w:hAnsi="Verdana" w:cs="Arial"/>
          <w:lang w:val="ru-RU"/>
        </w:rPr>
        <w:t>исполнение электрической части Услуг</w:t>
      </w:r>
    </w:p>
    <w:p w14:paraId="559761C5" w14:textId="77777777" w:rsidR="00FD6984" w:rsidRPr="00FD6984" w:rsidRDefault="00FD6984" w:rsidP="00FD6984">
      <w:pPr>
        <w:tabs>
          <w:tab w:val="left" w:pos="567"/>
          <w:tab w:val="left" w:pos="5068"/>
        </w:tabs>
        <w:rPr>
          <w:rFonts w:ascii="Verdana" w:hAnsi="Verdana" w:cs="Arial"/>
          <w:lang w:val="ru-RU"/>
        </w:rPr>
      </w:pPr>
      <w:r w:rsidRPr="00FD6984">
        <w:rPr>
          <w:rFonts w:ascii="Verdana" w:hAnsi="Verdana" w:cs="Arial"/>
          <w:lang w:val="ru-RU"/>
        </w:rPr>
        <w:t xml:space="preserve">Исполнение электрической части Услуг должно соответствовать основным требованиям  нормативно-технической документации (ПУЭ, ПТЭЭП, ПОТ, СНиП, ГОСТ и др.), подлежащих применению при оказании услуг на территории РФ.  </w:t>
      </w:r>
    </w:p>
    <w:p w14:paraId="0AF31701" w14:textId="086462E2" w:rsidR="00150182" w:rsidRPr="00091034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r w:rsidRPr="00091034">
        <w:rPr>
          <w:rFonts w:ascii="Verdana" w:hAnsi="Verdana"/>
        </w:rPr>
        <w:t>Срок действия Договора</w:t>
      </w:r>
      <w:bookmarkEnd w:id="44"/>
    </w:p>
    <w:p w14:paraId="0E3227E9" w14:textId="037F3978" w:rsidR="00AB77F7" w:rsidRDefault="00AB77F7" w:rsidP="00AF191D">
      <w:pPr>
        <w:spacing w:after="0" w:line="240" w:lineRule="auto"/>
        <w:rPr>
          <w:rFonts w:ascii="Verdana" w:hAnsi="Verdana"/>
          <w:lang w:val="ru-RU"/>
        </w:rPr>
      </w:pPr>
    </w:p>
    <w:p w14:paraId="72C6D63B" w14:textId="60A302F3" w:rsidR="00EA5761" w:rsidRDefault="00286AF4" w:rsidP="00286AF4">
      <w:pPr>
        <w:spacing w:after="0" w:line="240" w:lineRule="auto"/>
        <w:rPr>
          <w:rFonts w:ascii="Verdana" w:hAnsi="Verdana"/>
          <w:lang w:val="ru-RU"/>
        </w:rPr>
      </w:pPr>
      <w:bookmarkStart w:id="45" w:name="_Toc517902237"/>
      <w:bookmarkStart w:id="46" w:name="_Toc517903088"/>
      <w:bookmarkStart w:id="47" w:name="_Toc73017958"/>
      <w:bookmarkEnd w:id="45"/>
      <w:bookmarkEnd w:id="46"/>
      <w:bookmarkEnd w:id="47"/>
      <w:r>
        <w:rPr>
          <w:rFonts w:ascii="Verdana" w:hAnsi="Verdana"/>
          <w:lang w:val="en-US"/>
        </w:rPr>
        <w:t xml:space="preserve">2 </w:t>
      </w:r>
      <w:r>
        <w:rPr>
          <w:rFonts w:ascii="Verdana" w:hAnsi="Verdana"/>
          <w:lang w:val="ru-RU"/>
        </w:rPr>
        <w:t>года с момента подписания</w:t>
      </w:r>
    </w:p>
    <w:p w14:paraId="68B506F5" w14:textId="77777777" w:rsidR="00286AF4" w:rsidRPr="00286AF4" w:rsidRDefault="00286AF4" w:rsidP="00286AF4">
      <w:pPr>
        <w:spacing w:after="0" w:line="240" w:lineRule="auto"/>
        <w:rPr>
          <w:rFonts w:ascii="Verdana" w:hAnsi="Verdana"/>
          <w:lang w:val="ru-RU"/>
        </w:rPr>
      </w:pPr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48" w:name="_Toc472351086"/>
      <w:bookmarkStart w:id="49" w:name="_Toc472412717"/>
      <w:bookmarkStart w:id="50" w:name="_Toc472412735"/>
      <w:bookmarkStart w:id="51" w:name="_Toc513111865"/>
      <w:bookmarkStart w:id="52" w:name="_Toc513193640"/>
      <w:bookmarkStart w:id="53" w:name="_Toc513193650"/>
      <w:bookmarkStart w:id="54" w:name="_Toc513193688"/>
      <w:bookmarkStart w:id="55" w:name="_Toc513220066"/>
      <w:bookmarkStart w:id="56" w:name="_Toc514681492"/>
      <w:bookmarkStart w:id="57" w:name="_Toc514681502"/>
      <w:bookmarkStart w:id="58" w:name="_Toc514681512"/>
      <w:bookmarkStart w:id="59" w:name="_Toc517901920"/>
      <w:bookmarkStart w:id="60" w:name="_Toc517901930"/>
      <w:bookmarkStart w:id="61" w:name="_Toc517901940"/>
      <w:bookmarkStart w:id="62" w:name="_Toc517902087"/>
      <w:bookmarkStart w:id="63" w:name="_Toc517902123"/>
      <w:bookmarkStart w:id="64" w:name="_Toc517902133"/>
      <w:bookmarkStart w:id="65" w:name="_Toc517902240"/>
      <w:bookmarkStart w:id="66" w:name="_Toc517902467"/>
      <w:bookmarkStart w:id="67" w:name="_Toc84854378"/>
      <w:r w:rsidRPr="00091034">
        <w:rPr>
          <w:rFonts w:ascii="Verdana" w:hAnsi="Verdana"/>
        </w:rPr>
        <w:t>Интеллектуальная собственность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6FD5124C" w:rsidR="00E25A1B" w:rsidRPr="00091034" w:rsidRDefault="00E25A1B" w:rsidP="00AE13EF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lastRenderedPageBreak/>
        <w:t xml:space="preserve">В процессе выполнения работ 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286AF4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Создание</w:t>
            </w:r>
            <w:r w:rsidR="00E5626A" w:rsidRPr="00091034">
              <w:rPr>
                <w:rFonts w:ascii="Verdana" w:hAnsi="Verdana"/>
                <w:lang w:val="ru-RU"/>
              </w:rPr>
              <w:t>/передача</w:t>
            </w:r>
            <w:r w:rsidRPr="00091034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77777777" w:rsidR="00FF5A18" w:rsidRPr="00091034" w:rsidRDefault="00FF5A18" w:rsidP="00AF191D">
            <w:pPr>
              <w:spacing w:after="0"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59DC1FBC" w14:textId="77777777" w:rsidR="00FF5A18" w:rsidRPr="00091034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091034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695D00C7" w:rsidR="00C82515" w:rsidRPr="00091034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В</w:t>
      </w:r>
      <w:r w:rsidR="00DA3045" w:rsidRPr="00091034">
        <w:rPr>
          <w:rFonts w:ascii="Verdana" w:hAnsi="Verdana"/>
          <w:lang w:val="ru-RU"/>
        </w:rPr>
        <w:t xml:space="preserve"> случа</w:t>
      </w:r>
      <w:r w:rsidRPr="00091034">
        <w:rPr>
          <w:rFonts w:ascii="Verdana" w:hAnsi="Verdana"/>
          <w:lang w:val="ru-RU"/>
        </w:rPr>
        <w:t xml:space="preserve">е передачи </w:t>
      </w:r>
      <w:r w:rsidR="00286AF4">
        <w:rPr>
          <w:rFonts w:ascii="Verdana" w:hAnsi="Verdana"/>
          <w:lang w:val="ru-RU"/>
        </w:rPr>
        <w:t>АГК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прав на объекты интеллектуальной собственности</w:t>
      </w:r>
      <w:r w:rsidRPr="00091034">
        <w:rPr>
          <w:rFonts w:ascii="Verdana" w:hAnsi="Verdana"/>
          <w:lang w:val="ru-RU"/>
        </w:rPr>
        <w:t>, они</w:t>
      </w:r>
      <w:r w:rsidR="00C82515" w:rsidRPr="00091034">
        <w:rPr>
          <w:rFonts w:ascii="Verdana" w:hAnsi="Verdana"/>
          <w:lang w:val="ru-RU"/>
        </w:rPr>
        <w:t xml:space="preserve"> должны быть переданы </w:t>
      </w:r>
      <w:r w:rsidR="00286AF4">
        <w:rPr>
          <w:rFonts w:ascii="Verdana" w:hAnsi="Verdana"/>
          <w:lang w:val="ru-RU"/>
        </w:rPr>
        <w:t>АГК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в следующем объеме:</w:t>
      </w:r>
    </w:p>
    <w:p w14:paraId="7B8430E4" w14:textId="4004826A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3EC65F68" w14:textId="77777777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091034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091034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091034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286AF4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091034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091034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89661C" w:rsidRPr="00505B6A" w:rsidRDefault="0089661C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89661C" w:rsidRPr="00505B6A" w:rsidRDefault="0089661C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091034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7BD2A06A" w:rsidR="00505B6A" w:rsidRPr="00091034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286AF4">
              <w:rPr>
                <w:rFonts w:ascii="Verdana" w:hAnsi="Verdana"/>
                <w:sz w:val="18"/>
                <w:szCs w:val="18"/>
                <w:lang w:val="ru-RU"/>
              </w:rPr>
              <w:t>АГК</w:t>
            </w:r>
            <w:r w:rsidR="0091022C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286AF4">
              <w:rPr>
                <w:rFonts w:ascii="Verdana" w:hAnsi="Verdana"/>
                <w:sz w:val="18"/>
                <w:szCs w:val="18"/>
                <w:lang w:val="ru-RU"/>
              </w:rPr>
              <w:t>АГК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rFonts w:ascii="Verdana" w:hAnsi="Verdana"/>
          <w:b/>
          <w:lang w:val="ru-RU"/>
        </w:rPr>
        <w:t>.</w:t>
      </w: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68" w:name="_Toc472351087"/>
      <w:bookmarkStart w:id="69" w:name="_Toc472412718"/>
      <w:bookmarkStart w:id="70" w:name="_Toc472412736"/>
      <w:bookmarkStart w:id="71" w:name="_Toc513111866"/>
      <w:bookmarkStart w:id="72" w:name="_Toc513193641"/>
      <w:bookmarkStart w:id="73" w:name="_Toc513193651"/>
      <w:bookmarkStart w:id="74" w:name="_Toc513193689"/>
      <w:bookmarkStart w:id="75" w:name="_Toc513220067"/>
      <w:bookmarkStart w:id="76" w:name="_Toc514681493"/>
      <w:bookmarkStart w:id="77" w:name="_Toc514681503"/>
      <w:bookmarkStart w:id="78" w:name="_Toc514681513"/>
      <w:bookmarkStart w:id="79" w:name="_Toc517901921"/>
      <w:bookmarkStart w:id="80" w:name="_Toc517901931"/>
      <w:bookmarkStart w:id="81" w:name="_Toc517901941"/>
      <w:bookmarkStart w:id="82" w:name="_Toc517902088"/>
      <w:bookmarkStart w:id="83" w:name="_Toc517902124"/>
      <w:bookmarkStart w:id="84" w:name="_Toc517902134"/>
      <w:bookmarkStart w:id="85" w:name="_Toc517902241"/>
      <w:bookmarkStart w:id="86" w:name="_Toc517902468"/>
      <w:bookmarkStart w:id="87" w:name="_Toc84854379"/>
      <w:r w:rsidRPr="00091034">
        <w:rPr>
          <w:rFonts w:ascii="Verdana" w:hAnsi="Verdana"/>
        </w:rPr>
        <w:t>Персональные данные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418FEDE0" w14:textId="40868BA3" w:rsidR="00DE4081" w:rsidRPr="00091034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286AF4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286AF4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286AF4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18C4534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286AF4">
              <w:rPr>
                <w:rFonts w:ascii="Verdana" w:hAnsi="Verdana" w:cs="Arial"/>
                <w:sz w:val="20"/>
                <w:szCs w:val="20"/>
                <w:lang w:val="ru-RU"/>
              </w:rPr>
              <w:t>АГК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286AF4">
              <w:rPr>
                <w:rFonts w:ascii="Verdana" w:hAnsi="Verdana" w:cs="Arial"/>
                <w:sz w:val="20"/>
                <w:szCs w:val="20"/>
                <w:lang w:val="ru-RU"/>
              </w:rPr>
              <w:t>АГК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286AF4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7068DDA5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lastRenderedPageBreak/>
              <w:t xml:space="preserve">- персональные данные собираются Контрагентом и передаются/предоставляются Контрагентом в </w:t>
            </w:r>
            <w:r w:rsidR="00286AF4">
              <w:rPr>
                <w:rFonts w:ascii="Verdana" w:hAnsi="Verdana" w:cs="Arial"/>
                <w:sz w:val="20"/>
                <w:szCs w:val="20"/>
                <w:lang w:val="ru-RU"/>
              </w:rPr>
              <w:t>АГК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286AF4">
              <w:rPr>
                <w:rFonts w:ascii="Verdana" w:hAnsi="Verdana" w:cs="Arial"/>
                <w:sz w:val="20"/>
                <w:szCs w:val="20"/>
                <w:lang w:val="ru-RU"/>
              </w:rPr>
              <w:t>АГК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091034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091034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286AF4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740042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286AF4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091034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286AF4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091034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091034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091034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091034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091034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E40CCAE" w:rsidR="00533A21" w:rsidRPr="00091034" w:rsidRDefault="00533A21" w:rsidP="00AF191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286AF4">
        <w:rPr>
          <w:rFonts w:ascii="Verdana" w:hAnsi="Verdana"/>
          <w:bCs/>
          <w:lang w:val="ru-RU"/>
        </w:rPr>
        <w:t>АГК</w:t>
      </w:r>
      <w:r w:rsidRPr="00091034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48A14A36" w14:textId="0C3158FB" w:rsidR="003D0A9D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88" w:name="_Toc84854381"/>
      <w:bookmarkStart w:id="89" w:name="_Toc84854382"/>
      <w:bookmarkEnd w:id="88"/>
      <w:r w:rsidRPr="00091034">
        <w:rPr>
          <w:rFonts w:ascii="Verdana" w:hAnsi="Verdana"/>
          <w:lang w:val="ru-RU"/>
        </w:rPr>
        <w:lastRenderedPageBreak/>
        <w:t>Приложения</w:t>
      </w:r>
      <w:bookmarkEnd w:id="89"/>
    </w:p>
    <w:p w14:paraId="5C2F5446" w14:textId="64A2CD25" w:rsidR="00C501CB" w:rsidRDefault="00C501CB" w:rsidP="00C501CB">
      <w:pPr>
        <w:rPr>
          <w:lang w:val="en-US"/>
        </w:rPr>
      </w:pPr>
    </w:p>
    <w:p w14:paraId="681CFF3B" w14:textId="08540695" w:rsidR="00056F01" w:rsidRDefault="00056F01" w:rsidP="006B3DCB">
      <w:pPr>
        <w:rPr>
          <w:rFonts w:cs="Arial"/>
          <w:b/>
          <w:bCs/>
          <w:lang w:val="ru-RU"/>
        </w:rPr>
      </w:pPr>
      <w:bookmarkStart w:id="90" w:name="_Toc513111868"/>
      <w:bookmarkStart w:id="91" w:name="_Toc513193643"/>
      <w:bookmarkStart w:id="92" w:name="_Toc513193653"/>
      <w:bookmarkStart w:id="93" w:name="_Toc513193691"/>
      <w:bookmarkStart w:id="94" w:name="_Toc513220069"/>
      <w:bookmarkStart w:id="95" w:name="_Toc514681495"/>
      <w:bookmarkStart w:id="96" w:name="_Toc514681505"/>
      <w:bookmarkStart w:id="97" w:name="_Toc514681515"/>
      <w:bookmarkStart w:id="98" w:name="_Toc517901923"/>
      <w:bookmarkStart w:id="99" w:name="_Toc517901933"/>
      <w:bookmarkStart w:id="100" w:name="_Toc517901943"/>
      <w:bookmarkStart w:id="101" w:name="_Toc517902090"/>
      <w:bookmarkStart w:id="102" w:name="_Toc517902126"/>
      <w:bookmarkStart w:id="103" w:name="_Toc517902136"/>
      <w:bookmarkStart w:id="104" w:name="_Toc517902243"/>
      <w:bookmarkStart w:id="105" w:name="_Toc517902470"/>
    </w:p>
    <w:p w14:paraId="6324065E" w14:textId="38E0FBEC" w:rsidR="00CA2D63" w:rsidRPr="00CA2D63" w:rsidRDefault="009946AE" w:rsidP="006B3DCB">
      <w:pPr>
        <w:rPr>
          <w:rFonts w:cs="Arial"/>
          <w:b/>
          <w:bCs/>
          <w:lang w:val="ru-RU"/>
        </w:rPr>
      </w:pPr>
      <w:hyperlink r:id="rId11" w:history="1">
        <w:r w:rsidR="00CA2D63" w:rsidRPr="00CA2D63">
          <w:rPr>
            <w:rStyle w:val="ad"/>
            <w:rFonts w:cs="Arial"/>
            <w:b/>
            <w:bCs/>
            <w:lang w:val="ru-RU"/>
          </w:rPr>
          <w:t>SAP\SAP GUI\Приложение1_20240607134055.261_X.doc</w:t>
        </w:r>
      </w:hyperlink>
    </w:p>
    <w:p w14:paraId="0C2C2998" w14:textId="3D396EA9" w:rsidR="00056F01" w:rsidRDefault="009946AE" w:rsidP="006B3DCB">
      <w:pPr>
        <w:rPr>
          <w:rFonts w:cs="Arial"/>
          <w:b/>
          <w:bCs/>
          <w:lang w:val="ru-RU"/>
        </w:rPr>
      </w:pPr>
      <w:hyperlink r:id="rId12" w:history="1">
        <w:r w:rsidR="00CA2D63" w:rsidRPr="00CA2D63">
          <w:rPr>
            <w:rStyle w:val="ad"/>
            <w:rFonts w:cs="Arial"/>
            <w:b/>
            <w:bCs/>
            <w:lang w:val="ru-RU"/>
          </w:rPr>
          <w:t>SAP\SAP GUI\Приложение2_20240607134150.744_X.xlsx</w:t>
        </w:r>
      </w:hyperlink>
    </w:p>
    <w:p w14:paraId="338868B0" w14:textId="30E61844" w:rsidR="00056F01" w:rsidRDefault="00056F01" w:rsidP="006B3DCB">
      <w:pPr>
        <w:rPr>
          <w:rFonts w:cs="Arial"/>
          <w:b/>
          <w:bCs/>
          <w:lang w:val="ru-RU"/>
        </w:rPr>
      </w:pPr>
    </w:p>
    <w:p w14:paraId="063DB822" w14:textId="24ACB456" w:rsidR="00056F01" w:rsidRDefault="00056F01" w:rsidP="006B3DCB">
      <w:pPr>
        <w:rPr>
          <w:rFonts w:cs="Arial"/>
          <w:b/>
          <w:bCs/>
          <w:lang w:val="ru-RU"/>
        </w:rPr>
      </w:pPr>
    </w:p>
    <w:p w14:paraId="108F1CE3" w14:textId="4808B7C2" w:rsidR="00056F01" w:rsidRDefault="00056F01" w:rsidP="006B3DCB">
      <w:pPr>
        <w:rPr>
          <w:rFonts w:cs="Arial"/>
          <w:b/>
          <w:bCs/>
          <w:lang w:val="ru-RU"/>
        </w:rPr>
      </w:pPr>
    </w:p>
    <w:p w14:paraId="117E70E9" w14:textId="704D736B" w:rsidR="00056F01" w:rsidRDefault="00056F01" w:rsidP="006B3DCB">
      <w:pPr>
        <w:rPr>
          <w:rFonts w:cs="Arial"/>
          <w:b/>
          <w:bCs/>
          <w:lang w:val="ru-RU"/>
        </w:rPr>
      </w:pPr>
    </w:p>
    <w:p w14:paraId="6651D192" w14:textId="730A16A2" w:rsidR="00056F01" w:rsidRDefault="00056F01" w:rsidP="006B3DCB">
      <w:pPr>
        <w:rPr>
          <w:rFonts w:cs="Arial"/>
          <w:b/>
          <w:bCs/>
          <w:lang w:val="ru-RU"/>
        </w:rPr>
      </w:pPr>
    </w:p>
    <w:p w14:paraId="651336AA" w14:textId="77777777" w:rsidR="00056F01" w:rsidRDefault="00056F01" w:rsidP="006B3DCB">
      <w:pPr>
        <w:rPr>
          <w:rFonts w:cs="Arial"/>
          <w:b/>
          <w:bCs/>
          <w:lang w:val="ru-RU"/>
        </w:rPr>
      </w:pPr>
    </w:p>
    <w:p w14:paraId="39F16325" w14:textId="77777777" w:rsidR="00056F01" w:rsidRDefault="00056F01" w:rsidP="00056F01">
      <w:pPr>
        <w:jc w:val="center"/>
        <w:rPr>
          <w:rFonts w:cs="Arial"/>
          <w:b/>
          <w:bCs/>
          <w:lang w:val="ru-RU"/>
        </w:rPr>
      </w:pPr>
    </w:p>
    <w:p w14:paraId="004841EB" w14:textId="77777777" w:rsidR="00056F01" w:rsidRDefault="00056F01" w:rsidP="00056F01">
      <w:pPr>
        <w:jc w:val="center"/>
        <w:rPr>
          <w:rFonts w:cs="Arial"/>
          <w:bCs/>
          <w:lang w:val="ru-RU"/>
        </w:rPr>
      </w:pPr>
    </w:p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p w14:paraId="781F1AE3" w14:textId="30671B18" w:rsidR="00472534" w:rsidRDefault="00472534" w:rsidP="00056F01">
      <w:pPr>
        <w:spacing w:after="0" w:line="240" w:lineRule="auto"/>
        <w:ind w:left="426" w:hanging="426"/>
        <w:jc w:val="center"/>
        <w:rPr>
          <w:rFonts w:ascii="Verdana" w:hAnsi="Verdana"/>
          <w:lang w:val="ru-RU"/>
        </w:rPr>
      </w:pPr>
    </w:p>
    <w:sectPr w:rsidR="00472534" w:rsidSect="000172E2">
      <w:headerReference w:type="default" r:id="rId13"/>
      <w:footerReference w:type="default" r:id="rId14"/>
      <w:headerReference w:type="first" r:id="rId15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A1DC" w14:textId="77777777" w:rsidR="009946AE" w:rsidRDefault="009946AE">
      <w:r>
        <w:separator/>
      </w:r>
    </w:p>
  </w:endnote>
  <w:endnote w:type="continuationSeparator" w:id="0">
    <w:p w14:paraId="48343D39" w14:textId="77777777" w:rsidR="009946AE" w:rsidRDefault="009946AE">
      <w:r>
        <w:continuationSeparator/>
      </w:r>
    </w:p>
  </w:endnote>
  <w:endnote w:type="continuationNotice" w:id="1">
    <w:p w14:paraId="62DA9065" w14:textId="77777777" w:rsidR="009946AE" w:rsidRDefault="00994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286AF4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16DC176B" w:rsidR="007063F0" w:rsidRPr="00091034" w:rsidRDefault="007063F0" w:rsidP="0009103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="00AE13EF">
            <w:rPr>
              <w:rFonts w:ascii="Verdana" w:eastAsia="DengXian" w:hAnsi="Verdana" w:cs="Arial"/>
              <w:sz w:val="14"/>
              <w:szCs w:val="14"/>
              <w:lang w:val="ru-RU"/>
            </w:rPr>
            <w:t>: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>
            <w:rPr>
              <w:rFonts w:ascii="Verdana" w:eastAsia="DengXian" w:hAnsi="Verdana" w:cs="Arial"/>
            </w:rPr>
            <w:t xml:space="preserve"> 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</w:t>
          </w:r>
          <w:proofErr w:type="spellStart"/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Шеставина</w:t>
          </w:r>
          <w:proofErr w:type="spellEnd"/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193C0958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286AF4">
            <w:rPr>
              <w:rFonts w:ascii="Verdana" w:eastAsia="DengXian" w:hAnsi="Verdana" w:cs="Arial"/>
              <w:noProof/>
              <w:sz w:val="14"/>
              <w:szCs w:val="14"/>
            </w:rPr>
            <w:t>8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286AF4">
            <w:rPr>
              <w:rFonts w:ascii="Verdana" w:eastAsia="DengXian" w:hAnsi="Verdana" w:cs="Arial"/>
              <w:noProof/>
              <w:sz w:val="14"/>
              <w:szCs w:val="14"/>
            </w:rPr>
            <w:t>8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0E99187" w:rsidR="005642C5" w:rsidRDefault="005642C5" w:rsidP="005642C5">
    <w:pPr>
      <w:pStyle w:val="a5"/>
      <w:rPr>
        <w:lang w:val="ru-RU"/>
      </w:rPr>
    </w:pPr>
  </w:p>
  <w:p w14:paraId="2B80BF69" w14:textId="77777777" w:rsidR="00C74D63" w:rsidRPr="00233806" w:rsidRDefault="00C74D63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C159" w14:textId="77777777" w:rsidR="009946AE" w:rsidRDefault="009946AE">
      <w:r>
        <w:separator/>
      </w:r>
    </w:p>
  </w:footnote>
  <w:footnote w:type="continuationSeparator" w:id="0">
    <w:p w14:paraId="4306267B" w14:textId="77777777" w:rsidR="009946AE" w:rsidRDefault="009946AE">
      <w:r>
        <w:continuationSeparator/>
      </w:r>
    </w:p>
  </w:footnote>
  <w:footnote w:type="continuationNotice" w:id="1">
    <w:p w14:paraId="1C9A352B" w14:textId="77777777" w:rsidR="009946AE" w:rsidRDefault="00994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Внутренний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конкурс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1879"/>
          </w:tblGrid>
          <w:tr w:rsidR="00EB1794" w:rsidRPr="00091034" w14:paraId="71E279F7" w14:textId="77777777" w:rsidTr="000A4EEA">
            <w:trPr>
              <w:jc w:val="right"/>
            </w:trPr>
            <w:tc>
              <w:tcPr>
                <w:tcW w:w="851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879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0A4EEA">
            <w:trPr>
              <w:jc w:val="right"/>
            </w:trPr>
            <w:tc>
              <w:tcPr>
                <w:tcW w:w="851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879" w:type="dxa"/>
              </w:tcPr>
              <w:p w14:paraId="0589B6BF" w14:textId="60B4F473" w:rsidR="00EB1794" w:rsidRPr="00091034" w:rsidRDefault="000A4EEA" w:rsidP="000A4EEA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proofErr w:type="spellStart"/>
                <w:r w:rsidRPr="000A4EEA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Энергомеханический</w:t>
                </w:r>
                <w:proofErr w:type="spellEnd"/>
              </w:p>
              <w:p w14:paraId="0EA366AA" w14:textId="2AE3F062" w:rsidR="00EB1794" w:rsidRPr="00091034" w:rsidRDefault="00EB1794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EB1794" w:rsidRPr="00091034" w14:paraId="522E070A" w14:textId="77777777" w:rsidTr="000A4EEA">
            <w:trPr>
              <w:jc w:val="right"/>
            </w:trPr>
            <w:tc>
              <w:tcPr>
                <w:tcW w:w="851" w:type="dxa"/>
              </w:tcPr>
              <w:p w14:paraId="299E12E7" w14:textId="77777777" w:rsidR="00EB1794" w:rsidRPr="000A4EEA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A4EEA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879" w:type="dxa"/>
              </w:tcPr>
              <w:p w14:paraId="3047EBCE" w14:textId="7B8EB71D" w:rsidR="00EB1794" w:rsidRPr="000A4EEA" w:rsidRDefault="00EB1794" w:rsidP="00AE13EF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A4EEA">
                  <w:rPr>
                    <w:rFonts w:ascii="Verdana" w:hAnsi="Verdana"/>
                    <w:sz w:val="16"/>
                    <w:szCs w:val="16"/>
                    <w:lang w:val="ru-RU"/>
                  </w:rPr>
                  <w:t>__</w:t>
                </w:r>
                <w:r w:rsidR="00C74D63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07.06</w:t>
                </w:r>
                <w:r w:rsidR="000A4EEA" w:rsidRPr="000A4EEA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.2024</w:t>
                </w:r>
                <w:r w:rsidRPr="000A4EEA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_______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proofErr w:type="spellStart"/>
          <w:r w:rsidRPr="00C8569F">
            <w:rPr>
              <w:sz w:val="16"/>
              <w:szCs w:val="16"/>
            </w:rPr>
            <w:t>Дата</w:t>
          </w:r>
          <w:proofErr w:type="spellEnd"/>
          <w:r w:rsidRPr="00C8569F">
            <w:rPr>
              <w:sz w:val="16"/>
              <w:szCs w:val="16"/>
            </w:rPr>
            <w:t xml:space="preserve">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proofErr w:type="spellStart"/>
          <w:r w:rsidRPr="00C8569F">
            <w:rPr>
              <w:sz w:val="16"/>
              <w:szCs w:val="16"/>
            </w:rPr>
            <w:t>Стр</w:t>
          </w:r>
          <w:proofErr w:type="spellEnd"/>
          <w:r w:rsidRPr="00C8569F">
            <w:rPr>
              <w:sz w:val="16"/>
              <w:szCs w:val="16"/>
            </w:rPr>
            <w:t xml:space="preserve">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</w:t>
          </w:r>
          <w:proofErr w:type="spellStart"/>
          <w:r w:rsidRPr="00C8569F">
            <w:rPr>
              <w:sz w:val="16"/>
              <w:szCs w:val="16"/>
            </w:rPr>
            <w:t>из</w:t>
          </w:r>
          <w:proofErr w:type="spellEnd"/>
          <w:r w:rsidRPr="00C8569F">
            <w:rPr>
              <w:sz w:val="16"/>
              <w:szCs w:val="16"/>
            </w:rPr>
            <w:t xml:space="preserve">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06BF"/>
    <w:multiLevelType w:val="multilevel"/>
    <w:tmpl w:val="E4DA054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5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6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7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555A42"/>
    <w:multiLevelType w:val="hybridMultilevel"/>
    <w:tmpl w:val="82C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E6D62B4"/>
    <w:multiLevelType w:val="hybridMultilevel"/>
    <w:tmpl w:val="F95285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46"/>
  </w:num>
  <w:num w:numId="4">
    <w:abstractNumId w:val="18"/>
  </w:num>
  <w:num w:numId="5">
    <w:abstractNumId w:val="38"/>
  </w:num>
  <w:num w:numId="6">
    <w:abstractNumId w:val="2"/>
  </w:num>
  <w:num w:numId="7">
    <w:abstractNumId w:val="32"/>
  </w:num>
  <w:num w:numId="8">
    <w:abstractNumId w:val="34"/>
  </w:num>
  <w:num w:numId="9">
    <w:abstractNumId w:val="14"/>
  </w:num>
  <w:num w:numId="10">
    <w:abstractNumId w:val="3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</w:num>
  <w:num w:numId="15">
    <w:abstractNumId w:val="5"/>
  </w:num>
  <w:num w:numId="16">
    <w:abstractNumId w:val="20"/>
  </w:num>
  <w:num w:numId="17">
    <w:abstractNumId w:val="8"/>
  </w:num>
  <w:num w:numId="18">
    <w:abstractNumId w:val="30"/>
  </w:num>
  <w:num w:numId="19">
    <w:abstractNumId w:val="16"/>
  </w:num>
  <w:num w:numId="20">
    <w:abstractNumId w:val="43"/>
  </w:num>
  <w:num w:numId="21">
    <w:abstractNumId w:val="27"/>
  </w:num>
  <w:num w:numId="22">
    <w:abstractNumId w:val="17"/>
  </w:num>
  <w:num w:numId="23">
    <w:abstractNumId w:val="4"/>
  </w:num>
  <w:num w:numId="24">
    <w:abstractNumId w:val="48"/>
  </w:num>
  <w:num w:numId="25">
    <w:abstractNumId w:val="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37"/>
  </w:num>
  <w:num w:numId="30">
    <w:abstractNumId w:val="3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2"/>
  </w:num>
  <w:num w:numId="35">
    <w:abstractNumId w:val="24"/>
  </w:num>
  <w:num w:numId="36">
    <w:abstractNumId w:val="23"/>
  </w:num>
  <w:num w:numId="37">
    <w:abstractNumId w:val="22"/>
  </w:num>
  <w:num w:numId="38">
    <w:abstractNumId w:val="25"/>
  </w:num>
  <w:num w:numId="39">
    <w:abstractNumId w:val="40"/>
  </w:num>
  <w:num w:numId="40">
    <w:abstractNumId w:val="31"/>
  </w:num>
  <w:num w:numId="41">
    <w:abstractNumId w:val="0"/>
  </w:num>
  <w:num w:numId="42">
    <w:abstractNumId w:val="36"/>
  </w:num>
  <w:num w:numId="43">
    <w:abstractNumId w:val="9"/>
  </w:num>
  <w:num w:numId="44">
    <w:abstractNumId w:val="42"/>
  </w:num>
  <w:num w:numId="45">
    <w:abstractNumId w:val="3"/>
  </w:num>
  <w:num w:numId="46">
    <w:abstractNumId w:val="21"/>
  </w:num>
  <w:num w:numId="47">
    <w:abstractNumId w:val="13"/>
  </w:num>
  <w:num w:numId="48">
    <w:abstractNumId w:val="44"/>
  </w:num>
  <w:num w:numId="49">
    <w:abstractNumId w:val="41"/>
  </w:num>
  <w:num w:numId="50">
    <w:abstractNumId w:val="30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6"/>
  </w:num>
  <w:num w:numId="54">
    <w:abstractNumId w:val="15"/>
  </w:num>
  <w:num w:numId="55">
    <w:abstractNumId w:val="45"/>
  </w:num>
  <w:num w:numId="56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27248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56F01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4EEA"/>
    <w:rsid w:val="000A6CB8"/>
    <w:rsid w:val="000A6F51"/>
    <w:rsid w:val="000A7A31"/>
    <w:rsid w:val="000B5B65"/>
    <w:rsid w:val="000C73A1"/>
    <w:rsid w:val="000D506F"/>
    <w:rsid w:val="000E2A9F"/>
    <w:rsid w:val="000F0AB3"/>
    <w:rsid w:val="000F5C73"/>
    <w:rsid w:val="00107AF0"/>
    <w:rsid w:val="00125E8F"/>
    <w:rsid w:val="00126391"/>
    <w:rsid w:val="00130983"/>
    <w:rsid w:val="00136E79"/>
    <w:rsid w:val="00150182"/>
    <w:rsid w:val="001520D7"/>
    <w:rsid w:val="001536AA"/>
    <w:rsid w:val="00157C6D"/>
    <w:rsid w:val="00175D62"/>
    <w:rsid w:val="00191406"/>
    <w:rsid w:val="00196C9E"/>
    <w:rsid w:val="0019719B"/>
    <w:rsid w:val="00197D8E"/>
    <w:rsid w:val="001A39FD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440E"/>
    <w:rsid w:val="00215889"/>
    <w:rsid w:val="00217140"/>
    <w:rsid w:val="00222518"/>
    <w:rsid w:val="00222B7C"/>
    <w:rsid w:val="00226433"/>
    <w:rsid w:val="00227373"/>
    <w:rsid w:val="00227BD5"/>
    <w:rsid w:val="00227E76"/>
    <w:rsid w:val="00233806"/>
    <w:rsid w:val="0023783F"/>
    <w:rsid w:val="0024443E"/>
    <w:rsid w:val="002520F7"/>
    <w:rsid w:val="0025213A"/>
    <w:rsid w:val="00255BD0"/>
    <w:rsid w:val="00273260"/>
    <w:rsid w:val="0027390F"/>
    <w:rsid w:val="002801D2"/>
    <w:rsid w:val="00280267"/>
    <w:rsid w:val="00286AF4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65A0"/>
    <w:rsid w:val="002F7797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A234D"/>
    <w:rsid w:val="003B7786"/>
    <w:rsid w:val="003C1734"/>
    <w:rsid w:val="003C39B4"/>
    <w:rsid w:val="003C4FB3"/>
    <w:rsid w:val="003C60C8"/>
    <w:rsid w:val="003C69C2"/>
    <w:rsid w:val="003D0A9D"/>
    <w:rsid w:val="003D1F83"/>
    <w:rsid w:val="003D23F2"/>
    <w:rsid w:val="003D32A2"/>
    <w:rsid w:val="003D411F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2534"/>
    <w:rsid w:val="00473D6C"/>
    <w:rsid w:val="00475D28"/>
    <w:rsid w:val="00476176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4F5A"/>
    <w:rsid w:val="004F7C42"/>
    <w:rsid w:val="00503F88"/>
    <w:rsid w:val="00505B6A"/>
    <w:rsid w:val="00507D15"/>
    <w:rsid w:val="00511A36"/>
    <w:rsid w:val="005152D8"/>
    <w:rsid w:val="005161C8"/>
    <w:rsid w:val="005167BE"/>
    <w:rsid w:val="005255E6"/>
    <w:rsid w:val="005308C1"/>
    <w:rsid w:val="00532591"/>
    <w:rsid w:val="00533A21"/>
    <w:rsid w:val="005435DD"/>
    <w:rsid w:val="00545F67"/>
    <w:rsid w:val="005642C5"/>
    <w:rsid w:val="0056477D"/>
    <w:rsid w:val="00576313"/>
    <w:rsid w:val="00591446"/>
    <w:rsid w:val="005946BD"/>
    <w:rsid w:val="00595357"/>
    <w:rsid w:val="00596035"/>
    <w:rsid w:val="005A3505"/>
    <w:rsid w:val="005A54D2"/>
    <w:rsid w:val="005A5D7B"/>
    <w:rsid w:val="005A6294"/>
    <w:rsid w:val="005B1F36"/>
    <w:rsid w:val="005E28AD"/>
    <w:rsid w:val="005F5310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5963"/>
    <w:rsid w:val="0066653B"/>
    <w:rsid w:val="006730A3"/>
    <w:rsid w:val="006740F6"/>
    <w:rsid w:val="00677618"/>
    <w:rsid w:val="006840B7"/>
    <w:rsid w:val="00691A3B"/>
    <w:rsid w:val="00691CA8"/>
    <w:rsid w:val="0069796A"/>
    <w:rsid w:val="006A2B8A"/>
    <w:rsid w:val="006B3DCB"/>
    <w:rsid w:val="006B550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104A9"/>
    <w:rsid w:val="00722A0A"/>
    <w:rsid w:val="00730841"/>
    <w:rsid w:val="00731328"/>
    <w:rsid w:val="00731BCD"/>
    <w:rsid w:val="00734D69"/>
    <w:rsid w:val="00740042"/>
    <w:rsid w:val="00744284"/>
    <w:rsid w:val="00744543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57C43"/>
    <w:rsid w:val="008604DE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6AE"/>
    <w:rsid w:val="00994E39"/>
    <w:rsid w:val="009A2B7E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6660"/>
    <w:rsid w:val="00A37EE7"/>
    <w:rsid w:val="00A422D7"/>
    <w:rsid w:val="00A42DCC"/>
    <w:rsid w:val="00A434B0"/>
    <w:rsid w:val="00A4367A"/>
    <w:rsid w:val="00A44225"/>
    <w:rsid w:val="00A542DF"/>
    <w:rsid w:val="00A569AC"/>
    <w:rsid w:val="00A57C4D"/>
    <w:rsid w:val="00A6102F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F4C"/>
    <w:rsid w:val="00AC1714"/>
    <w:rsid w:val="00AC4BEB"/>
    <w:rsid w:val="00AD2655"/>
    <w:rsid w:val="00AD7061"/>
    <w:rsid w:val="00AE13EF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47915"/>
    <w:rsid w:val="00B515E5"/>
    <w:rsid w:val="00B57EB3"/>
    <w:rsid w:val="00B61CC8"/>
    <w:rsid w:val="00B66E07"/>
    <w:rsid w:val="00B67DCA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A6A6C"/>
    <w:rsid w:val="00BB1103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F0EF3"/>
    <w:rsid w:val="00BF3A5D"/>
    <w:rsid w:val="00BF429D"/>
    <w:rsid w:val="00C02466"/>
    <w:rsid w:val="00C124B7"/>
    <w:rsid w:val="00C13275"/>
    <w:rsid w:val="00C13536"/>
    <w:rsid w:val="00C1483D"/>
    <w:rsid w:val="00C16D67"/>
    <w:rsid w:val="00C16D79"/>
    <w:rsid w:val="00C20C3E"/>
    <w:rsid w:val="00C210DB"/>
    <w:rsid w:val="00C212D8"/>
    <w:rsid w:val="00C22B83"/>
    <w:rsid w:val="00C317C5"/>
    <w:rsid w:val="00C34211"/>
    <w:rsid w:val="00C438A1"/>
    <w:rsid w:val="00C46DEA"/>
    <w:rsid w:val="00C501CB"/>
    <w:rsid w:val="00C53D03"/>
    <w:rsid w:val="00C542CE"/>
    <w:rsid w:val="00C65AE8"/>
    <w:rsid w:val="00C706BA"/>
    <w:rsid w:val="00C74D63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2D63"/>
    <w:rsid w:val="00CA32CC"/>
    <w:rsid w:val="00CB0761"/>
    <w:rsid w:val="00CB1EEC"/>
    <w:rsid w:val="00CB3D61"/>
    <w:rsid w:val="00CB4DBA"/>
    <w:rsid w:val="00CB6DBE"/>
    <w:rsid w:val="00CC2197"/>
    <w:rsid w:val="00CC3B30"/>
    <w:rsid w:val="00CC64B5"/>
    <w:rsid w:val="00CC7046"/>
    <w:rsid w:val="00CD255C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4509"/>
    <w:rsid w:val="00D36DDB"/>
    <w:rsid w:val="00D410C3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D0FA7"/>
    <w:rsid w:val="00DD7A2D"/>
    <w:rsid w:val="00DE4081"/>
    <w:rsid w:val="00DE4AB7"/>
    <w:rsid w:val="00DF5B98"/>
    <w:rsid w:val="00E03263"/>
    <w:rsid w:val="00E067CD"/>
    <w:rsid w:val="00E13E41"/>
    <w:rsid w:val="00E21047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248"/>
    <w:rsid w:val="00E95913"/>
    <w:rsid w:val="00EA5761"/>
    <w:rsid w:val="00EB1794"/>
    <w:rsid w:val="00EB4019"/>
    <w:rsid w:val="00EB5C10"/>
    <w:rsid w:val="00EB6584"/>
    <w:rsid w:val="00EC2980"/>
    <w:rsid w:val="00EC3F4D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277BD"/>
    <w:rsid w:val="00F30362"/>
    <w:rsid w:val="00F37246"/>
    <w:rsid w:val="00F37848"/>
    <w:rsid w:val="00F46186"/>
    <w:rsid w:val="00F55942"/>
    <w:rsid w:val="00F5696E"/>
    <w:rsid w:val="00F64FAA"/>
    <w:rsid w:val="00F81701"/>
    <w:rsid w:val="00F8209C"/>
    <w:rsid w:val="00F92E48"/>
    <w:rsid w:val="00F94140"/>
    <w:rsid w:val="00FA15ED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3471"/>
    <w:rsid w:val="00FD6147"/>
    <w:rsid w:val="00FD6514"/>
    <w:rsid w:val="00FD6984"/>
    <w:rsid w:val="00FE3116"/>
    <w:rsid w:val="00FF4F8F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SAP/SAP%20GUI/&#1055;&#1088;&#1080;&#1083;&#1086;&#1078;&#1077;&#1085;&#1080;&#1077;2_20240607134150.744_X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AP/SAP%20GUI/&#1055;&#1088;&#1080;&#1083;&#1086;&#1078;&#1077;&#1085;&#1080;&#1077;1_20240607134055.261_X.do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8F567-3E4C-426D-8F31-3356E279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Grishin, Ruslan</cp:lastModifiedBy>
  <cp:revision>40</cp:revision>
  <cp:lastPrinted>2021-08-23T13:56:00Z</cp:lastPrinted>
  <dcterms:created xsi:type="dcterms:W3CDTF">2023-03-09T13:02:00Z</dcterms:created>
  <dcterms:modified xsi:type="dcterms:W3CDTF">2024-06-13T10:11:00Z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