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5649C3F4"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r w:rsidR="00960EC0">
        <w:rPr>
          <w:b/>
          <w:bCs/>
          <w:sz w:val="24"/>
          <w:szCs w:val="24"/>
        </w:rPr>
        <w:t xml:space="preserve"> </w:t>
      </w:r>
      <w:r w:rsidR="005064AE" w:rsidRPr="000D7E7E">
        <w:rPr>
          <w:b/>
          <w:bCs/>
          <w:sz w:val="24"/>
          <w:szCs w:val="24"/>
          <w:highlight w:val="yellow"/>
        </w:rPr>
        <w:t>0</w:t>
      </w:r>
      <w:r w:rsidR="005E4383">
        <w:rPr>
          <w:b/>
          <w:bCs/>
          <w:sz w:val="24"/>
          <w:szCs w:val="24"/>
          <w:highlight w:val="yellow"/>
        </w:rPr>
        <w:t>8</w:t>
      </w:r>
      <w:r w:rsidR="007A2C7A">
        <w:rPr>
          <w:b/>
          <w:bCs/>
          <w:sz w:val="24"/>
          <w:szCs w:val="24"/>
          <w:highlight w:val="yellow"/>
        </w:rPr>
        <w:t>6</w:t>
      </w:r>
      <w:r w:rsidR="001C7FFB">
        <w:rPr>
          <w:b/>
          <w:bCs/>
          <w:sz w:val="24"/>
          <w:szCs w:val="24"/>
          <w:highlight w:val="yellow"/>
        </w:rPr>
        <w:t>-</w:t>
      </w:r>
      <w:r w:rsidR="00A167EB">
        <w:rPr>
          <w:b/>
          <w:bCs/>
          <w:sz w:val="24"/>
          <w:szCs w:val="24"/>
          <w:highlight w:val="yellow"/>
        </w:rPr>
        <w:t>2</w:t>
      </w:r>
      <w:r w:rsidR="00812243">
        <w:rPr>
          <w:b/>
          <w:bCs/>
          <w:sz w:val="24"/>
          <w:szCs w:val="24"/>
          <w:highlight w:val="yellow"/>
        </w:rPr>
        <w:t>5</w:t>
      </w:r>
      <w:r w:rsidR="001C7FFB">
        <w:rPr>
          <w:b/>
          <w:bCs/>
          <w:sz w:val="24"/>
          <w:szCs w:val="24"/>
          <w:highlight w:val="yellow"/>
        </w:rPr>
        <w:t>10</w:t>
      </w:r>
      <w:r w:rsidR="005064AE" w:rsidRPr="000D7E7E">
        <w:rPr>
          <w:b/>
          <w:bCs/>
          <w:sz w:val="24"/>
          <w:szCs w:val="24"/>
          <w:highlight w:val="yellow"/>
        </w:rPr>
        <w:t>24</w:t>
      </w:r>
    </w:p>
    <w:p w14:paraId="5930AD2C" w14:textId="5FA58663" w:rsidR="008B653F" w:rsidRPr="000A4846" w:rsidRDefault="008B653F" w:rsidP="00667DA6">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r w:rsidR="00667DA6">
        <w:rPr>
          <w:b/>
          <w:bCs/>
          <w:sz w:val="22"/>
          <w:szCs w:val="22"/>
        </w:rPr>
        <w:t xml:space="preserve"> </w:t>
      </w:r>
      <w:r w:rsidRPr="000A4846">
        <w:rPr>
          <w:b/>
          <w:bCs/>
          <w:sz w:val="22"/>
          <w:szCs w:val="22"/>
        </w:rPr>
        <w:t>для заключения договора</w:t>
      </w:r>
      <w:r w:rsidR="00EB49A8">
        <w:rPr>
          <w:b/>
          <w:bCs/>
          <w:sz w:val="22"/>
          <w:szCs w:val="22"/>
        </w:rPr>
        <w:t xml:space="preserve"> по объекту</w:t>
      </w:r>
      <w:r w:rsidR="00C27810">
        <w:rPr>
          <w:b/>
          <w:bCs/>
          <w:sz w:val="22"/>
          <w:szCs w:val="22"/>
        </w:rPr>
        <w:t>:</w:t>
      </w:r>
    </w:p>
    <w:bookmarkEnd w:id="0"/>
    <w:bookmarkEnd w:id="1"/>
    <w:bookmarkEnd w:id="2"/>
    <w:bookmarkEnd w:id="3"/>
    <w:bookmarkEnd w:id="4"/>
    <w:p w14:paraId="1015930D" w14:textId="392CD55C" w:rsidR="00C27810" w:rsidRDefault="00C27810" w:rsidP="00392191">
      <w:pPr>
        <w:ind w:firstLine="0"/>
        <w:jc w:val="center"/>
        <w:rPr>
          <w:b/>
          <w:bCs/>
          <w:sz w:val="22"/>
          <w:szCs w:val="22"/>
        </w:rPr>
      </w:pPr>
      <w:r>
        <w:rPr>
          <w:b/>
          <w:bCs/>
          <w:sz w:val="22"/>
          <w:szCs w:val="22"/>
        </w:rPr>
        <w:t>«</w:t>
      </w:r>
      <w:r w:rsidR="007A2C7A">
        <w:rPr>
          <w:b/>
          <w:bCs/>
          <w:sz w:val="22"/>
          <w:szCs w:val="22"/>
        </w:rPr>
        <w:t>КС84»</w:t>
      </w:r>
    </w:p>
    <w:p w14:paraId="034F1044" w14:textId="053CFF2A"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5" w:name="_Toc209261653"/>
      <w:r w:rsidRPr="00A24DFF">
        <w:rPr>
          <w:b/>
          <w:bCs/>
          <w:sz w:val="22"/>
          <w:szCs w:val="22"/>
        </w:rPr>
        <w:t xml:space="preserve">1. </w:t>
      </w:r>
      <w:r w:rsidR="00DD2D7D" w:rsidRPr="00A24DFF">
        <w:rPr>
          <w:b/>
          <w:bCs/>
          <w:caps/>
          <w:sz w:val="22"/>
          <w:szCs w:val="22"/>
        </w:rPr>
        <w:t>Общие положения</w:t>
      </w:r>
      <w:bookmarkEnd w:id="5"/>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6" w:name="_Toc55285336"/>
      <w:bookmarkStart w:id="7" w:name="_Toc55305370"/>
      <w:bookmarkStart w:id="8" w:name="_Ref55313246"/>
      <w:bookmarkStart w:id="9" w:name="_Ref56231140"/>
      <w:bookmarkStart w:id="10" w:name="_Ref56231144"/>
      <w:bookmarkStart w:id="11" w:name="_Toc57314617"/>
      <w:bookmarkStart w:id="12" w:name="_Toc69728943"/>
      <w:bookmarkStart w:id="13" w:name="_Toc189545068"/>
      <w:bookmarkStart w:id="14" w:name="_Toc298319688"/>
      <w:bookmarkStart w:id="15"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6" w:name="_Hlk135843100"/>
      <w:bookmarkStart w:id="17"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8" w:name="_Hlk130921293"/>
    </w:p>
    <w:p w14:paraId="47EA3B21" w14:textId="0F275C8E" w:rsidR="00BA0407" w:rsidRPr="00FF0D81" w:rsidRDefault="00C6690D" w:rsidP="00FF0D81">
      <w:pPr>
        <w:pStyle w:val="aff4"/>
        <w:ind w:firstLine="0"/>
        <w:rPr>
          <w:sz w:val="24"/>
          <w:szCs w:val="24"/>
        </w:rPr>
      </w:pPr>
      <w:r w:rsidRPr="00FF0D81">
        <w:rPr>
          <w:b/>
          <w:bCs/>
          <w:sz w:val="24"/>
          <w:szCs w:val="24"/>
        </w:rPr>
        <w:t xml:space="preserve">Эл.почта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r w:rsidRPr="00FF0D81">
          <w:rPr>
            <w:rStyle w:val="a4"/>
            <w:b/>
            <w:bCs/>
            <w:sz w:val="24"/>
            <w:szCs w:val="24"/>
            <w:lang w:val="en-US"/>
          </w:rPr>
          <w:t>ru</w:t>
        </w:r>
      </w:hyperlink>
      <w:bookmarkEnd w:id="18"/>
      <w:r w:rsidR="00A93E20" w:rsidRPr="00FF0D81">
        <w:rPr>
          <w:b/>
          <w:bCs/>
          <w:sz w:val="24"/>
          <w:szCs w:val="24"/>
        </w:rPr>
        <w:t>, также по средствам чата на ЭТП</w:t>
      </w:r>
      <w:r w:rsidR="00BA0407" w:rsidRPr="00FF0D81">
        <w:rPr>
          <w:b/>
          <w:bCs/>
          <w:sz w:val="24"/>
          <w:szCs w:val="24"/>
        </w:rPr>
        <w:t>.</w:t>
      </w:r>
    </w:p>
    <w:bookmarkEnd w:id="16"/>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7"/>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4B2F291F" w:rsidR="00EA2078" w:rsidRPr="00B764DC" w:rsidRDefault="00C542A8" w:rsidP="00EA2078">
      <w:pPr>
        <w:spacing w:line="240" w:lineRule="auto"/>
        <w:ind w:firstLine="0"/>
        <w:rPr>
          <w:b/>
          <w:bCs/>
          <w:sz w:val="22"/>
          <w:szCs w:val="22"/>
        </w:rPr>
      </w:pPr>
      <w:bookmarkStart w:id="19" w:name="_Hlk106645880"/>
      <w:bookmarkStart w:id="20" w:name="_Hlk120867862"/>
      <w:r w:rsidRPr="00B764DC">
        <w:rPr>
          <w:sz w:val="22"/>
          <w:szCs w:val="22"/>
          <w:highlight w:val="cyan"/>
        </w:rPr>
        <w:t xml:space="preserve">Срок подачи Коммерческого предложения </w:t>
      </w:r>
      <w:bookmarkStart w:id="21" w:name="_Hlk120726662"/>
      <w:bookmarkStart w:id="22" w:name="_Hlk130916976"/>
      <w:bookmarkStart w:id="23" w:name="_Hlk135843151"/>
      <w:bookmarkEnd w:id="19"/>
      <w:r w:rsidR="00B764DC" w:rsidRPr="00B764DC">
        <w:rPr>
          <w:b/>
          <w:bCs/>
          <w:sz w:val="22"/>
          <w:szCs w:val="22"/>
          <w:highlight w:val="cyan"/>
        </w:rPr>
        <w:t>до</w:t>
      </w:r>
      <w:r w:rsidR="00B764DC" w:rsidRPr="00B764DC">
        <w:rPr>
          <w:sz w:val="22"/>
          <w:szCs w:val="22"/>
          <w:highlight w:val="cyan"/>
        </w:rPr>
        <w:t xml:space="preserve"> </w:t>
      </w:r>
      <w:bookmarkStart w:id="24" w:name="_Hlk116902436"/>
      <w:bookmarkStart w:id="25" w:name="_Hlk121255085"/>
      <w:r w:rsidR="00B764DC" w:rsidRPr="00B764DC">
        <w:rPr>
          <w:b/>
          <w:sz w:val="22"/>
          <w:szCs w:val="22"/>
          <w:highlight w:val="cyan"/>
        </w:rPr>
        <w:t>1</w:t>
      </w:r>
      <w:r w:rsidR="00D213CA">
        <w:rPr>
          <w:b/>
          <w:sz w:val="22"/>
          <w:szCs w:val="22"/>
          <w:highlight w:val="cyan"/>
        </w:rPr>
        <w:t>3</w:t>
      </w:r>
      <w:r w:rsidR="00B764DC" w:rsidRPr="00B764DC">
        <w:rPr>
          <w:b/>
          <w:sz w:val="22"/>
          <w:szCs w:val="22"/>
          <w:highlight w:val="cyan"/>
        </w:rPr>
        <w:t xml:space="preserve">:00 (МСК) </w:t>
      </w:r>
      <w:bookmarkStart w:id="26" w:name="_Hlk133176277"/>
      <w:r w:rsidR="007A2C7A">
        <w:rPr>
          <w:b/>
          <w:sz w:val="22"/>
          <w:szCs w:val="22"/>
          <w:highlight w:val="cyan"/>
        </w:rPr>
        <w:t>3</w:t>
      </w:r>
      <w:r w:rsidR="002911CE">
        <w:rPr>
          <w:b/>
          <w:sz w:val="22"/>
          <w:szCs w:val="22"/>
          <w:highlight w:val="cyan"/>
        </w:rPr>
        <w:t>1</w:t>
      </w:r>
      <w:r w:rsidR="00B764DC" w:rsidRPr="00B764DC">
        <w:rPr>
          <w:b/>
          <w:sz w:val="22"/>
          <w:szCs w:val="22"/>
          <w:highlight w:val="cyan"/>
        </w:rPr>
        <w:t>.</w:t>
      </w:r>
      <w:r w:rsidR="001C7FFB">
        <w:rPr>
          <w:b/>
          <w:sz w:val="22"/>
          <w:szCs w:val="22"/>
          <w:highlight w:val="cyan"/>
        </w:rPr>
        <w:t>1</w:t>
      </w:r>
      <w:r w:rsidR="007A2C7A">
        <w:rPr>
          <w:b/>
          <w:sz w:val="22"/>
          <w:szCs w:val="22"/>
          <w:highlight w:val="cyan"/>
        </w:rPr>
        <w:t>0</w:t>
      </w:r>
      <w:r w:rsidR="002911CE">
        <w:rPr>
          <w:b/>
          <w:sz w:val="22"/>
          <w:szCs w:val="22"/>
          <w:highlight w:val="cyan"/>
        </w:rPr>
        <w:t>.</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1"/>
      <w:bookmarkEnd w:id="22"/>
      <w:bookmarkEnd w:id="23"/>
      <w:bookmarkEnd w:id="24"/>
      <w:bookmarkEnd w:id="25"/>
      <w:bookmarkEnd w:id="26"/>
    </w:p>
    <w:p w14:paraId="5CCEE278" w14:textId="77777777" w:rsidR="00912C0B" w:rsidRPr="00912C0B" w:rsidRDefault="00912C0B" w:rsidP="00EA2078">
      <w:pPr>
        <w:spacing w:line="240" w:lineRule="auto"/>
        <w:ind w:firstLine="0"/>
        <w:rPr>
          <w:sz w:val="22"/>
          <w:szCs w:val="22"/>
        </w:rPr>
      </w:pPr>
    </w:p>
    <w:bookmarkEnd w:id="20"/>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14CCBD0B" w14:textId="4AF42A45" w:rsidR="00F97C7D" w:rsidRPr="00CB759B" w:rsidRDefault="00590C90" w:rsidP="00CB759B">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6"/>
      <w:bookmarkEnd w:id="7"/>
      <w:bookmarkEnd w:id="8"/>
      <w:bookmarkEnd w:id="9"/>
      <w:bookmarkEnd w:id="10"/>
      <w:bookmarkEnd w:id="11"/>
      <w:bookmarkEnd w:id="12"/>
      <w:bookmarkEnd w:id="13"/>
      <w:bookmarkEnd w:id="14"/>
      <w:r w:rsidR="008B653F" w:rsidRPr="008B653F">
        <w:rPr>
          <w:b/>
          <w:color w:val="000000" w:themeColor="text1"/>
          <w:sz w:val="22"/>
          <w:szCs w:val="22"/>
        </w:rPr>
        <w:t>.</w:t>
      </w:r>
    </w:p>
    <w:bookmarkEnd w:id="15"/>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lastRenderedPageBreak/>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7"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7"/>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8"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8"/>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29" w:name="_Toc189545070"/>
      <w:bookmarkStart w:id="30"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29"/>
      <w:bookmarkEnd w:id="30"/>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3C0DF03D" w14:textId="6B3A73E2" w:rsidR="00C542A8" w:rsidRPr="005E4383" w:rsidRDefault="00920BE0" w:rsidP="00812243">
      <w:pPr>
        <w:ind w:firstLine="0"/>
        <w:jc w:val="center"/>
        <w:rPr>
          <w:b/>
          <w:bCs/>
          <w:sz w:val="22"/>
          <w:szCs w:val="22"/>
        </w:rPr>
      </w:pPr>
      <w:bookmarkStart w:id="31"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7A2C7A">
        <w:rPr>
          <w:b/>
          <w:sz w:val="22"/>
          <w:szCs w:val="22"/>
        </w:rPr>
        <w:t xml:space="preserve">мостовые опорные части </w:t>
      </w:r>
      <w:r w:rsidR="00A167EB">
        <w:rPr>
          <w:b/>
          <w:sz w:val="22"/>
          <w:szCs w:val="22"/>
        </w:rPr>
        <w:t xml:space="preserve"> </w:t>
      </w:r>
      <w:r w:rsidR="003A7A3C" w:rsidRPr="003A7A3C">
        <w:rPr>
          <w:bCs/>
        </w:rPr>
        <w:t>для проекта</w:t>
      </w:r>
      <w:r w:rsidR="007F39C1">
        <w:rPr>
          <w:bCs/>
        </w:rPr>
        <w:t>:</w:t>
      </w:r>
      <w:r w:rsidR="005E4383" w:rsidRPr="005E4383">
        <w:rPr>
          <w:b/>
          <w:bCs/>
          <w:sz w:val="22"/>
          <w:szCs w:val="22"/>
        </w:rPr>
        <w:t xml:space="preserve"> </w:t>
      </w:r>
      <w:r w:rsidR="00812243">
        <w:rPr>
          <w:b/>
          <w:bCs/>
          <w:sz w:val="22"/>
          <w:szCs w:val="22"/>
        </w:rPr>
        <w:t>«</w:t>
      </w:r>
      <w:r w:rsidR="007A2C7A">
        <w:rPr>
          <w:b/>
          <w:bCs/>
          <w:sz w:val="22"/>
          <w:szCs w:val="22"/>
        </w:rPr>
        <w:t>КС84</w:t>
      </w:r>
      <w:r w:rsidR="00812243" w:rsidRPr="00C27810">
        <w:rPr>
          <w:b/>
          <w:bCs/>
          <w:sz w:val="22"/>
          <w:szCs w:val="22"/>
        </w:rPr>
        <w:t>»</w:t>
      </w:r>
      <w:r w:rsidR="007A2C7A">
        <w:rPr>
          <w:b/>
          <w:bCs/>
          <w:sz w:val="22"/>
          <w:szCs w:val="22"/>
        </w:rPr>
        <w:t xml:space="preserve"> </w:t>
      </w:r>
      <w:r w:rsidR="00812243">
        <w:rPr>
          <w:b/>
          <w:bCs/>
          <w:sz w:val="22"/>
          <w:szCs w:val="22"/>
        </w:rPr>
        <w:t xml:space="preserve"> </w:t>
      </w:r>
      <w:r w:rsidR="003A7A3C" w:rsidRPr="00AD0C9B">
        <w:rPr>
          <w:sz w:val="22"/>
          <w:szCs w:val="22"/>
        </w:rPr>
        <w:t>согласно техническому заданию (Приложение №1</w:t>
      </w:r>
      <w:r w:rsidR="005E4383">
        <w:rPr>
          <w:sz w:val="22"/>
          <w:szCs w:val="22"/>
        </w:rPr>
        <w:t xml:space="preserve"> </w:t>
      </w:r>
      <w:r w:rsidR="003A7A3C" w:rsidRPr="00AD0C9B">
        <w:rPr>
          <w:sz w:val="22"/>
          <w:szCs w:val="22"/>
        </w:rPr>
        <w:t>к</w:t>
      </w:r>
      <w:r w:rsidR="005E4383">
        <w:rPr>
          <w:sz w:val="22"/>
          <w:szCs w:val="22"/>
        </w:rPr>
        <w:t xml:space="preserve"> </w:t>
      </w:r>
      <w:r w:rsidR="003A7A3C" w:rsidRPr="00AD0C9B">
        <w:rPr>
          <w:sz w:val="22"/>
          <w:szCs w:val="22"/>
        </w:rPr>
        <w:t>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1"/>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2"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3"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r w:rsidRPr="00B314E2">
        <w:rPr>
          <w:b/>
          <w:bCs/>
          <w:sz w:val="22"/>
          <w:szCs w:val="22"/>
          <w:lang w:val="en-US"/>
        </w:rPr>
        <w:t>xls</w:t>
      </w:r>
      <w:r w:rsidRPr="00B314E2">
        <w:rPr>
          <w:b/>
          <w:bCs/>
          <w:sz w:val="22"/>
          <w:szCs w:val="22"/>
        </w:rPr>
        <w:t>.</w:t>
      </w:r>
    </w:p>
    <w:bookmarkEnd w:id="33"/>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lastRenderedPageBreak/>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4" w:name="_Toc298319696"/>
      <w:bookmarkEnd w:id="32"/>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5" w:name="_Toc298319695"/>
      <w:bookmarkStart w:id="36" w:name="_Ref93088240"/>
      <w:bookmarkStart w:id="37"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5"/>
      <w:r w:rsidR="00A0196E">
        <w:rPr>
          <w:b/>
          <w:bCs/>
          <w:sz w:val="22"/>
          <w:szCs w:val="22"/>
        </w:rPr>
        <w:t>:</w:t>
      </w:r>
      <w:bookmarkEnd w:id="36"/>
      <w:bookmarkEnd w:id="37"/>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8"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39" w:name="_Ref86823116"/>
      <w:bookmarkStart w:id="40" w:name="_Toc90385058"/>
      <w:bookmarkStart w:id="41" w:name="_Toc98253992"/>
      <w:bookmarkStart w:id="42" w:name="_Toc140817630"/>
      <w:bookmarkStart w:id="43" w:name="_Toc298319701"/>
      <w:bookmarkEnd w:id="34"/>
      <w:bookmarkEnd w:id="38"/>
      <w:r w:rsidR="005D4AA3" w:rsidRPr="005D4AA3">
        <w:rPr>
          <w:sz w:val="22"/>
          <w:szCs w:val="22"/>
        </w:rPr>
        <w:t>В ходе проверки предоставленных участником документов,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39"/>
      <w:bookmarkEnd w:id="40"/>
      <w:r w:rsidR="0061089B" w:rsidRPr="004613DD">
        <w:rPr>
          <w:rFonts w:ascii="Times New Roman" w:hAnsi="Times New Roman"/>
          <w:caps/>
          <w:szCs w:val="22"/>
        </w:rPr>
        <w:t>Предложений</w:t>
      </w:r>
      <w:bookmarkEnd w:id="41"/>
      <w:bookmarkEnd w:id="42"/>
      <w:bookmarkEnd w:id="43"/>
    </w:p>
    <w:p w14:paraId="1A611D0A" w14:textId="41F6A850" w:rsidR="0061089B" w:rsidRPr="000A6FDB" w:rsidRDefault="0061089B" w:rsidP="002A62DB">
      <w:pPr>
        <w:spacing w:line="240" w:lineRule="auto"/>
        <w:ind w:firstLine="0"/>
        <w:rPr>
          <w:sz w:val="22"/>
          <w:szCs w:val="22"/>
        </w:rPr>
      </w:pPr>
      <w:r w:rsidRPr="000A6FDB">
        <w:rPr>
          <w:sz w:val="22"/>
          <w:szCs w:val="22"/>
        </w:rPr>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lastRenderedPageBreak/>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4" w:name="_Ref93697814"/>
      <w:bookmarkStart w:id="45" w:name="_Toc98254003"/>
      <w:bookmarkStart w:id="46"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4"/>
      <w:bookmarkEnd w:id="45"/>
      <w:bookmarkEnd w:id="46"/>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7"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7"/>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16BC"/>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1D0"/>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B7F03"/>
    <w:rsid w:val="000C12F7"/>
    <w:rsid w:val="000C13D8"/>
    <w:rsid w:val="000C1871"/>
    <w:rsid w:val="000C286C"/>
    <w:rsid w:val="000C3801"/>
    <w:rsid w:val="000C39DC"/>
    <w:rsid w:val="000C7438"/>
    <w:rsid w:val="000D1635"/>
    <w:rsid w:val="000D2438"/>
    <w:rsid w:val="000D40B8"/>
    <w:rsid w:val="000D4237"/>
    <w:rsid w:val="000D4989"/>
    <w:rsid w:val="000D4EAE"/>
    <w:rsid w:val="000D5272"/>
    <w:rsid w:val="000D62AF"/>
    <w:rsid w:val="000D7BC5"/>
    <w:rsid w:val="000D7E7E"/>
    <w:rsid w:val="000E1CD3"/>
    <w:rsid w:val="000E1E87"/>
    <w:rsid w:val="000E236C"/>
    <w:rsid w:val="000E3582"/>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2E1"/>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C7FFB"/>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11CE"/>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401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0DC7"/>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5345"/>
    <w:rsid w:val="00317291"/>
    <w:rsid w:val="00317DD0"/>
    <w:rsid w:val="003203A0"/>
    <w:rsid w:val="0032045A"/>
    <w:rsid w:val="00320739"/>
    <w:rsid w:val="00320F43"/>
    <w:rsid w:val="0032251E"/>
    <w:rsid w:val="00323482"/>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700A"/>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978B8"/>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509D9"/>
    <w:rsid w:val="00550AC3"/>
    <w:rsid w:val="005523C9"/>
    <w:rsid w:val="00552516"/>
    <w:rsid w:val="00552AFB"/>
    <w:rsid w:val="00552C0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383"/>
    <w:rsid w:val="005E4E26"/>
    <w:rsid w:val="005E5733"/>
    <w:rsid w:val="005E5D83"/>
    <w:rsid w:val="005E7F75"/>
    <w:rsid w:val="005F05F7"/>
    <w:rsid w:val="005F1C32"/>
    <w:rsid w:val="005F2F64"/>
    <w:rsid w:val="005F43F7"/>
    <w:rsid w:val="005F4CB3"/>
    <w:rsid w:val="005F4D65"/>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6340"/>
    <w:rsid w:val="006563E9"/>
    <w:rsid w:val="00661DAD"/>
    <w:rsid w:val="00662D11"/>
    <w:rsid w:val="006632E6"/>
    <w:rsid w:val="00663E4B"/>
    <w:rsid w:val="00664687"/>
    <w:rsid w:val="00664B69"/>
    <w:rsid w:val="006654BC"/>
    <w:rsid w:val="006659CB"/>
    <w:rsid w:val="00665E80"/>
    <w:rsid w:val="00667DA6"/>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91F"/>
    <w:rsid w:val="006A3300"/>
    <w:rsid w:val="006A4219"/>
    <w:rsid w:val="006A55AE"/>
    <w:rsid w:val="006A629B"/>
    <w:rsid w:val="006A63CC"/>
    <w:rsid w:val="006A6BCE"/>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409F"/>
    <w:rsid w:val="006E72D9"/>
    <w:rsid w:val="006E783B"/>
    <w:rsid w:val="006E7BA2"/>
    <w:rsid w:val="006E7EC4"/>
    <w:rsid w:val="006F1028"/>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207AC"/>
    <w:rsid w:val="0072118D"/>
    <w:rsid w:val="00721947"/>
    <w:rsid w:val="00721D34"/>
    <w:rsid w:val="00723FD9"/>
    <w:rsid w:val="00724571"/>
    <w:rsid w:val="00724621"/>
    <w:rsid w:val="00727D37"/>
    <w:rsid w:val="00730496"/>
    <w:rsid w:val="00731DC2"/>
    <w:rsid w:val="00731ED0"/>
    <w:rsid w:val="00732B12"/>
    <w:rsid w:val="007330CB"/>
    <w:rsid w:val="00733864"/>
    <w:rsid w:val="0073433E"/>
    <w:rsid w:val="007352D7"/>
    <w:rsid w:val="00735DD4"/>
    <w:rsid w:val="007410CE"/>
    <w:rsid w:val="007412FD"/>
    <w:rsid w:val="00741690"/>
    <w:rsid w:val="00742882"/>
    <w:rsid w:val="00743446"/>
    <w:rsid w:val="00743975"/>
    <w:rsid w:val="007445CE"/>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C7A"/>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243"/>
    <w:rsid w:val="008126F7"/>
    <w:rsid w:val="0081309C"/>
    <w:rsid w:val="00813625"/>
    <w:rsid w:val="00817819"/>
    <w:rsid w:val="00817E1F"/>
    <w:rsid w:val="00820278"/>
    <w:rsid w:val="00822100"/>
    <w:rsid w:val="00822B1F"/>
    <w:rsid w:val="00825238"/>
    <w:rsid w:val="00825A55"/>
    <w:rsid w:val="008277BF"/>
    <w:rsid w:val="00831794"/>
    <w:rsid w:val="008324B5"/>
    <w:rsid w:val="00832D4D"/>
    <w:rsid w:val="00833CB1"/>
    <w:rsid w:val="008346E5"/>
    <w:rsid w:val="00834DFD"/>
    <w:rsid w:val="008379D5"/>
    <w:rsid w:val="00837D86"/>
    <w:rsid w:val="008407D9"/>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1FBA"/>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30A9"/>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3FF"/>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3552"/>
    <w:rsid w:val="009D3CE2"/>
    <w:rsid w:val="009D43A3"/>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3E9A"/>
    <w:rsid w:val="009F4CA0"/>
    <w:rsid w:val="009F5F55"/>
    <w:rsid w:val="009F6C72"/>
    <w:rsid w:val="00A00C4F"/>
    <w:rsid w:val="00A01699"/>
    <w:rsid w:val="00A0196E"/>
    <w:rsid w:val="00A0211E"/>
    <w:rsid w:val="00A03BF8"/>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167EB"/>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612"/>
    <w:rsid w:val="00A26B6D"/>
    <w:rsid w:val="00A27062"/>
    <w:rsid w:val="00A27B34"/>
    <w:rsid w:val="00A309E2"/>
    <w:rsid w:val="00A318FF"/>
    <w:rsid w:val="00A31C66"/>
    <w:rsid w:val="00A33520"/>
    <w:rsid w:val="00A34459"/>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6BD"/>
    <w:rsid w:val="00A665B6"/>
    <w:rsid w:val="00A6678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29A4"/>
    <w:rsid w:val="00A93E20"/>
    <w:rsid w:val="00A951B2"/>
    <w:rsid w:val="00A960C6"/>
    <w:rsid w:val="00A9678C"/>
    <w:rsid w:val="00A9762D"/>
    <w:rsid w:val="00AA0C8E"/>
    <w:rsid w:val="00AA1F88"/>
    <w:rsid w:val="00AA221E"/>
    <w:rsid w:val="00AA23A5"/>
    <w:rsid w:val="00AA4941"/>
    <w:rsid w:val="00AA5E93"/>
    <w:rsid w:val="00AA6716"/>
    <w:rsid w:val="00AA69F0"/>
    <w:rsid w:val="00AA72E8"/>
    <w:rsid w:val="00AB0091"/>
    <w:rsid w:val="00AB1705"/>
    <w:rsid w:val="00AB2788"/>
    <w:rsid w:val="00AB3832"/>
    <w:rsid w:val="00AB484A"/>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4ACE"/>
    <w:rsid w:val="00AD559D"/>
    <w:rsid w:val="00AD5BD8"/>
    <w:rsid w:val="00AD6244"/>
    <w:rsid w:val="00AD7089"/>
    <w:rsid w:val="00AE00E4"/>
    <w:rsid w:val="00AE21EB"/>
    <w:rsid w:val="00AE383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A4"/>
    <w:rsid w:val="00B66CE0"/>
    <w:rsid w:val="00B71200"/>
    <w:rsid w:val="00B727A0"/>
    <w:rsid w:val="00B72E4F"/>
    <w:rsid w:val="00B72F28"/>
    <w:rsid w:val="00B73482"/>
    <w:rsid w:val="00B7361F"/>
    <w:rsid w:val="00B73806"/>
    <w:rsid w:val="00B739CD"/>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4AB4"/>
    <w:rsid w:val="00C27263"/>
    <w:rsid w:val="00C27810"/>
    <w:rsid w:val="00C306F5"/>
    <w:rsid w:val="00C307BC"/>
    <w:rsid w:val="00C34CC2"/>
    <w:rsid w:val="00C354EF"/>
    <w:rsid w:val="00C35CF6"/>
    <w:rsid w:val="00C36FF7"/>
    <w:rsid w:val="00C374CD"/>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8AA"/>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A171A"/>
    <w:rsid w:val="00CA1D63"/>
    <w:rsid w:val="00CA1E80"/>
    <w:rsid w:val="00CA2608"/>
    <w:rsid w:val="00CA260F"/>
    <w:rsid w:val="00CA2C27"/>
    <w:rsid w:val="00CA3518"/>
    <w:rsid w:val="00CA5086"/>
    <w:rsid w:val="00CA6A67"/>
    <w:rsid w:val="00CA6DF3"/>
    <w:rsid w:val="00CB12E9"/>
    <w:rsid w:val="00CB1304"/>
    <w:rsid w:val="00CB1B64"/>
    <w:rsid w:val="00CB2DEA"/>
    <w:rsid w:val="00CB3353"/>
    <w:rsid w:val="00CB5111"/>
    <w:rsid w:val="00CB66C4"/>
    <w:rsid w:val="00CB759B"/>
    <w:rsid w:val="00CC0047"/>
    <w:rsid w:val="00CC02FF"/>
    <w:rsid w:val="00CC16DE"/>
    <w:rsid w:val="00CC2825"/>
    <w:rsid w:val="00CC2871"/>
    <w:rsid w:val="00CC2FE9"/>
    <w:rsid w:val="00CC347A"/>
    <w:rsid w:val="00CC3649"/>
    <w:rsid w:val="00CC39E7"/>
    <w:rsid w:val="00CC4AB4"/>
    <w:rsid w:val="00CC5800"/>
    <w:rsid w:val="00CC6E78"/>
    <w:rsid w:val="00CD02D4"/>
    <w:rsid w:val="00CD1928"/>
    <w:rsid w:val="00CD1962"/>
    <w:rsid w:val="00CD3412"/>
    <w:rsid w:val="00CD3A31"/>
    <w:rsid w:val="00CD5D08"/>
    <w:rsid w:val="00CD5E10"/>
    <w:rsid w:val="00CE00E7"/>
    <w:rsid w:val="00CE0722"/>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3CA"/>
    <w:rsid w:val="00D21D6A"/>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AFA"/>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5013"/>
    <w:rsid w:val="00DA6912"/>
    <w:rsid w:val="00DB0165"/>
    <w:rsid w:val="00DB109C"/>
    <w:rsid w:val="00DB1FA1"/>
    <w:rsid w:val="00DB3045"/>
    <w:rsid w:val="00DB315C"/>
    <w:rsid w:val="00DB4A3D"/>
    <w:rsid w:val="00DB4A73"/>
    <w:rsid w:val="00DB4BE3"/>
    <w:rsid w:val="00DB4E7F"/>
    <w:rsid w:val="00DB5A6D"/>
    <w:rsid w:val="00DB699E"/>
    <w:rsid w:val="00DB6ED6"/>
    <w:rsid w:val="00DC0CAA"/>
    <w:rsid w:val="00DC0D24"/>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3337"/>
    <w:rsid w:val="00DE555C"/>
    <w:rsid w:val="00DE59B0"/>
    <w:rsid w:val="00DF00FD"/>
    <w:rsid w:val="00DF06B7"/>
    <w:rsid w:val="00DF0E42"/>
    <w:rsid w:val="00DF0EAC"/>
    <w:rsid w:val="00DF4D87"/>
    <w:rsid w:val="00E01F9B"/>
    <w:rsid w:val="00E01FD3"/>
    <w:rsid w:val="00E02A9B"/>
    <w:rsid w:val="00E038DD"/>
    <w:rsid w:val="00E04563"/>
    <w:rsid w:val="00E05014"/>
    <w:rsid w:val="00E07099"/>
    <w:rsid w:val="00E07A07"/>
    <w:rsid w:val="00E12987"/>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956"/>
    <w:rsid w:val="00E66E99"/>
    <w:rsid w:val="00E70ABE"/>
    <w:rsid w:val="00E710F8"/>
    <w:rsid w:val="00E714C1"/>
    <w:rsid w:val="00E72D55"/>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6D9"/>
    <w:rsid w:val="00EF6EC1"/>
    <w:rsid w:val="00F00EF2"/>
    <w:rsid w:val="00F03C37"/>
    <w:rsid w:val="00F05162"/>
    <w:rsid w:val="00F060F9"/>
    <w:rsid w:val="00F07647"/>
    <w:rsid w:val="00F13269"/>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2A7C"/>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773"/>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45</cp:revision>
  <cp:lastPrinted>2024-04-08T08:33:00Z</cp:lastPrinted>
  <dcterms:created xsi:type="dcterms:W3CDTF">2024-04-19T12:43:00Z</dcterms:created>
  <dcterms:modified xsi:type="dcterms:W3CDTF">2024-10-25T14:05:00Z</dcterms:modified>
</cp:coreProperties>
</file>