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360DB75E" w:rsidR="00FF4F70" w:rsidRPr="008B6F54" w:rsidRDefault="00CA064C" w:rsidP="005A56F8">
            <w:pPr>
              <w:cnfStyle w:val="000000010000" w:firstRow="0" w:lastRow="0" w:firstColumn="0" w:lastColumn="0" w:oddVBand="0" w:evenVBand="0" w:oddHBand="0" w:evenHBand="1" w:firstRowFirstColumn="0" w:firstRowLastColumn="0" w:lastRowFirstColumn="0" w:lastRowLastColumn="0"/>
            </w:pPr>
            <w:hyperlink r:id="rId10" w:history="1">
              <w:r w:rsidRPr="00081664">
                <w:rPr>
                  <w:rStyle w:val="afb"/>
                  <w:lang w:val="en-US"/>
                </w:rPr>
                <w:t>VSeredkina</w:t>
              </w:r>
              <w:r w:rsidRPr="00081664">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D9CAE7C" w:rsidR="00FF4F70" w:rsidRPr="006D5787" w:rsidRDefault="00CA064C" w:rsidP="005A56F8">
            <w:pPr>
              <w:cnfStyle w:val="000000100000" w:firstRow="0" w:lastRow="0" w:firstColumn="0" w:lastColumn="0" w:oddVBand="0" w:evenVBand="0" w:oddHBand="1" w:evenHBand="0" w:firstRowFirstColumn="0" w:firstRowLastColumn="0" w:lastRowFirstColumn="0" w:lastRowLastColumn="0"/>
              <w:rPr>
                <w:b/>
              </w:rPr>
            </w:pPr>
            <w:r w:rsidRPr="00CA064C">
              <w:rPr>
                <w:b/>
              </w:rPr>
              <w:t>Исследование целевой аудитории в рамках разработки бренда работодателя</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EDE87BD"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CA6E730" w:rsidR="00BA134E" w:rsidRPr="00CA064C" w:rsidRDefault="00CA064C" w:rsidP="005A56F8">
            <w:pPr>
              <w:cnfStyle w:val="000000100000" w:firstRow="0" w:lastRow="0" w:firstColumn="0" w:lastColumn="0" w:oddVBand="0" w:evenVBand="0" w:oddHBand="1" w:evenHBand="0" w:firstRowFirstColumn="0" w:firstRowLastColumn="0" w:lastRowFirstColumn="0" w:lastRowLastColumn="0"/>
              <w:rPr>
                <w:color w:val="00B0F0"/>
              </w:rPr>
            </w:pPr>
            <w:r w:rsidRPr="00CA064C">
              <w:t>Описание задачи в техническом задании</w:t>
            </w:r>
            <w:r>
              <w:rPr>
                <w:i/>
                <w:color w:val="548DD4" w:themeColor="text2" w:themeTint="99"/>
              </w:rPr>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578FC268"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CA064C" w:rsidRPr="00CA064C">
              <w:t>«Росэлторг»</w:t>
            </w:r>
            <w:r w:rsidR="00164BF4" w:rsidRPr="00164BF4">
              <w:t xml:space="preserve"> </w:t>
            </w:r>
            <w:r w:rsidR="00164BF4" w:rsidRPr="00CA064C">
              <w:t>(</w:t>
            </w:r>
            <w:r w:rsidR="00CA064C" w:rsidRPr="00CA064C">
              <w:t>https://business.roseltorg.ru/lk/orders/10756?lotId=</w:t>
            </w:r>
            <w:r w:rsidR="00164BF4" w:rsidRPr="00CA064C">
              <w:t>),</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AA5754A"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CA064C" w:rsidRPr="00CA064C">
              <w:t>19.07.2023г.</w:t>
            </w:r>
            <w:r w:rsidR="006D5787" w:rsidRPr="00CA064C">
              <w:t xml:space="preserve"> (</w:t>
            </w:r>
            <w:r w:rsidR="00A65732" w:rsidRPr="00CA064C">
              <w:t>мск)</w:t>
            </w:r>
            <w:r w:rsidR="006D5787">
              <w:rPr>
                <w:b/>
              </w:rPr>
              <w:t xml:space="preserve"> </w:t>
            </w:r>
          </w:p>
          <w:p w14:paraId="1723D508" w14:textId="5AF5172F"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CA064C" w:rsidRPr="00CA064C">
              <w:t>28.07.2023г.</w:t>
            </w:r>
            <w:r w:rsidR="006D5787" w:rsidRPr="00CA064C">
              <w:t xml:space="preserve"> (мск)</w:t>
            </w:r>
            <w:r w:rsidR="006D5787">
              <w:rPr>
                <w:b/>
              </w:rPr>
              <w:t xml:space="preserve"> </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3A9611B3"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A064C">
              <w:rPr>
                <w:b/>
              </w:rPr>
              <w:t>3</w:t>
            </w:r>
            <w:r w:rsidRPr="00440BC8">
              <w:rPr>
                <w:b/>
              </w:rPr>
              <w:t xml:space="preserve"> - Форма предварительного квалификационного отбора</w:t>
            </w:r>
            <w:r w:rsidR="00440BC8">
              <w:rPr>
                <w:b/>
              </w:rPr>
              <w:t>;</w:t>
            </w:r>
          </w:p>
          <w:p w14:paraId="61C0A80E" w14:textId="547D36F5"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064C">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C81BAAF"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A064C">
              <w:rPr>
                <w:b/>
              </w:rPr>
              <w:t>4</w:t>
            </w:r>
            <w:r w:rsidRPr="00440BC8">
              <w:rPr>
                <w:b/>
              </w:rPr>
              <w:t xml:space="preserve"> - Предложение Участника;</w:t>
            </w:r>
          </w:p>
          <w:p w14:paraId="796F1C66" w14:textId="08722A0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CA064C">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3A062D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CA064C">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17E8806D"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CA064C">
              <w:rPr>
                <w:b/>
              </w:rPr>
              <w:t>100</w:t>
            </w:r>
            <w:r w:rsidRPr="00E311E5">
              <w:rPr>
                <w:b/>
              </w:rPr>
              <w:t xml:space="preserve"> </w:t>
            </w:r>
            <w:r w:rsidRPr="00E311E5">
              <w:t>%</w:t>
            </w:r>
            <w:r w:rsid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5ECB51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CA064C">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313255A4"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CA064C">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399F36C0"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CA064C">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0C5F6300" w:rsidR="006615D6" w:rsidRDefault="006615D6" w:rsidP="005A56F8">
      <w:pPr>
        <w:pStyle w:val="afffffd"/>
        <w:rPr>
          <w:noProof/>
        </w:rPr>
      </w:pPr>
    </w:p>
    <w:p w14:paraId="21175BFA" w14:textId="77777777" w:rsidR="00C7023B" w:rsidRDefault="00C7023B" w:rsidP="005A56F8"/>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4FDBAF3" w14:textId="77777777" w:rsidR="000C7AF0" w:rsidRPr="00C7023B" w:rsidRDefault="000C7AF0" w:rsidP="00CA064C">
      <w:pPr>
        <w:ind w:left="0" w:firstLine="0"/>
      </w:pPr>
    </w:p>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CA064C">
      <w:pPr>
        <w:jc w:val="center"/>
      </w:pPr>
      <w:r w:rsidRPr="00305593">
        <w:t>С</w:t>
      </w:r>
      <w:r>
        <w:t>ООТВЕТСТВИЕ УЧАСТНИКА ОБЯЗАТЕЛЬНЫМ ТРЕБОВАНИЯМ</w:t>
      </w:r>
    </w:p>
    <w:p w14:paraId="525BBF4C" w14:textId="77777777" w:rsidR="00CA7DA6" w:rsidRPr="00DC5CDF" w:rsidRDefault="00CA7DA6" w:rsidP="00CA064C">
      <w:pPr>
        <w:jc w:val="cente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20E37B08" w14:textId="51F3A1D2" w:rsidR="00DC5CDF" w:rsidRDefault="00DC5CDF" w:rsidP="005A56F8">
      <w:pPr>
        <w:pStyle w:val="afffffd"/>
        <w:rPr>
          <w:noProof/>
        </w:rPr>
      </w:pPr>
    </w:p>
    <w:p w14:paraId="76C4C347" w14:textId="77777777" w:rsidR="00D35E31" w:rsidRPr="007A35D2" w:rsidRDefault="00D35E31" w:rsidP="00CA064C">
      <w:pPr>
        <w:ind w:left="0" w:firstLine="0"/>
      </w:pPr>
    </w:p>
    <w:p w14:paraId="0170C79F" w14:textId="7723C11E" w:rsidR="002D12C6" w:rsidRPr="006B0C83" w:rsidRDefault="002340F5" w:rsidP="005A56F8">
      <w:pPr>
        <w:pStyle w:val="afffffd"/>
        <w:rPr>
          <w:b/>
          <w:noProof/>
        </w:rPr>
      </w:pPr>
      <w:r w:rsidRPr="006B0C83">
        <w:rPr>
          <w:b/>
          <w:noProof/>
        </w:rPr>
        <w:lastRenderedPageBreak/>
        <w:t xml:space="preserve">Приложение </w:t>
      </w:r>
      <w:r w:rsidR="00CA064C">
        <w:rPr>
          <w:b/>
          <w:noProof/>
        </w:rPr>
        <w:t>3</w:t>
      </w:r>
    </w:p>
    <w:p w14:paraId="7FB387C8" w14:textId="77777777" w:rsidR="007641DA" w:rsidRPr="00C50E28" w:rsidRDefault="007641DA" w:rsidP="005A56F8">
      <w:pPr>
        <w:pStyle w:val="afffffd"/>
        <w:rPr>
          <w:noProof/>
        </w:rPr>
      </w:pPr>
    </w:p>
    <w:p w14:paraId="21F0092F" w14:textId="1637E318" w:rsidR="002340F5" w:rsidRDefault="00E12056" w:rsidP="00CA064C">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CA064C">
      <w:pPr>
        <w:jc w:val="cente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714F81AC"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CA064C">
              <w:t>2</w:t>
            </w:r>
            <w:r w:rsidRPr="00AC69A6">
              <w:t xml:space="preserve"> млн. руб. за </w:t>
            </w:r>
            <w:r w:rsidR="00CA064C">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27A06C9" w:rsidR="002340F5" w:rsidRPr="00AC69A6" w:rsidRDefault="00CA064C" w:rsidP="005A56F8">
            <w:pPr>
              <w:rPr>
                <w:rFonts w:eastAsia="SimSun"/>
                <w:b/>
              </w:rPr>
            </w:pPr>
            <w:r w:rsidRPr="00CA064C">
              <w:t>Наличие собственного ежегодного исследования либо рейтинга направленного на ИТ аудиторию будет являться преимуществом</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5DA2C189" w:rsidR="002340F5" w:rsidRPr="00AC69A6" w:rsidRDefault="00CA064C" w:rsidP="005A56F8">
            <w:r>
              <w:t xml:space="preserve">Подтвердить документально </w:t>
            </w:r>
          </w:p>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09B71F32" w:rsidR="002340F5" w:rsidRPr="00AC69A6" w:rsidRDefault="00CA064C" w:rsidP="005A56F8">
            <w:pPr>
              <w:rPr>
                <w:b/>
              </w:rPr>
            </w:pPr>
            <w:r w:rsidRPr="00CA064C">
              <w:t>Реализованных проектов исследований ЦА с целью разработки HR-бренда для компаний из рейтинга топ-500 РБК https://www.rbc.ru/rbc500/</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1CF505EE" w:rsidR="002340F5" w:rsidRPr="00CA064C" w:rsidRDefault="00CA064C" w:rsidP="005A56F8">
            <w:r w:rsidRPr="00CA064C">
              <w:t>Подтвердить документально</w:t>
            </w:r>
          </w:p>
        </w:tc>
      </w:tr>
      <w:tr w:rsidR="002340F5" w:rsidRPr="00863721" w14:paraId="74D98EA4" w14:textId="77777777" w:rsidTr="00DD36FF">
        <w:tc>
          <w:tcPr>
            <w:tcW w:w="733" w:type="dxa"/>
            <w:shd w:val="clear" w:color="auto" w:fill="auto"/>
          </w:tcPr>
          <w:p w14:paraId="11F7F76B" w14:textId="3DEC7B27" w:rsidR="002340F5" w:rsidRPr="00CA064C" w:rsidRDefault="00CA064C" w:rsidP="005A56F8">
            <w:r w:rsidRPr="00CA064C">
              <w:t>4</w:t>
            </w:r>
          </w:p>
        </w:tc>
        <w:tc>
          <w:tcPr>
            <w:tcW w:w="5113" w:type="dxa"/>
            <w:shd w:val="clear" w:color="auto" w:fill="auto"/>
          </w:tcPr>
          <w:p w14:paraId="70DB7F96" w14:textId="54904027" w:rsidR="002340F5" w:rsidRPr="00D35E31" w:rsidRDefault="00CA064C" w:rsidP="005A56F8">
            <w:pPr>
              <w:rPr>
                <w:i/>
                <w:color w:val="0070C0"/>
              </w:rPr>
            </w:pPr>
            <w:r w:rsidRPr="00CA064C">
              <w:t>Проведения исследований аудитории ИТ-специалистов за последние 2 года</w:t>
            </w: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6503196D" w:rsidR="002340F5" w:rsidRPr="00AC69A6" w:rsidRDefault="00CA064C" w:rsidP="005A56F8">
            <w:r>
              <w:t>Подтвердить документально</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55F8C0DD"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F02ACE">
        <w:rPr>
          <w:b/>
          <w:noProof/>
        </w:rPr>
        <w:t>4</w:t>
      </w:r>
    </w:p>
    <w:p w14:paraId="32AEA555" w14:textId="77777777" w:rsidR="009240E6" w:rsidRPr="002E4B8C" w:rsidRDefault="009240E6" w:rsidP="005A56F8">
      <w:pPr>
        <w:pStyle w:val="afffffd"/>
        <w:rPr>
          <w:noProof/>
        </w:rPr>
      </w:pPr>
    </w:p>
    <w:p w14:paraId="7309F6BC" w14:textId="03D58AEF" w:rsidR="00150FE2" w:rsidRDefault="002E4B8C" w:rsidP="00F02ACE">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02ACE">
      <w:pPr>
        <w:jc w:val="cente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3FC914A" w:rsidR="005A56F8" w:rsidRPr="006B0C83" w:rsidRDefault="005A56F8" w:rsidP="005A56F8">
      <w:pPr>
        <w:pStyle w:val="afffffd"/>
        <w:rPr>
          <w:b/>
          <w:noProof/>
        </w:rPr>
      </w:pPr>
      <w:r w:rsidRPr="006B0C83">
        <w:rPr>
          <w:b/>
          <w:noProof/>
        </w:rPr>
        <w:t xml:space="preserve">Приложение </w:t>
      </w:r>
      <w:r w:rsidR="00F02ACE">
        <w:rPr>
          <w:b/>
          <w:noProof/>
        </w:rPr>
        <w:t>5</w:t>
      </w:r>
    </w:p>
    <w:p w14:paraId="0B194931" w14:textId="6419857C" w:rsidR="005A56F8" w:rsidRPr="005A56F8" w:rsidRDefault="005A56F8" w:rsidP="005A56F8"/>
    <w:p w14:paraId="4222D817" w14:textId="695C31B7" w:rsidR="005A56F8" w:rsidRDefault="00CC396D" w:rsidP="00F02ACE">
      <w:pPr>
        <w:jc w:val="center"/>
      </w:pPr>
      <w:bookmarkStart w:id="0" w:name="_GoBack"/>
      <w:r>
        <w:t>СОГЛАСИЕ НА ОБРАБОТКУ И ПЕРЕДАЧУ ПЕРСОНАЛЬНЫХ ДАННЫХ</w:t>
      </w:r>
    </w:p>
    <w:bookmarkEnd w:id="0"/>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p w14:paraId="75B8191B" w14:textId="77777777" w:rsidR="00000000" w:rsidRDefault="00F02ACE"/>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p w14:paraId="3F4AFB91" w14:textId="77777777" w:rsidR="00000000" w:rsidRDefault="00F02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F02ACE"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p w14:paraId="51F2B0BD" w14:textId="77777777" w:rsidR="00000000" w:rsidRDefault="00F02ACE"/>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p w14:paraId="0FBD005F" w14:textId="77777777" w:rsidR="00000000" w:rsidRDefault="00F02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p w14:paraId="45DF9A94" w14:textId="77777777" w:rsidR="00000000" w:rsidRDefault="00F02A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64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2ACE"/>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Seredkin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719C-8F4A-4929-AA92-C5BA721D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14</cp:revision>
  <cp:lastPrinted>2019-01-05T13:07:00Z</cp:lastPrinted>
  <dcterms:created xsi:type="dcterms:W3CDTF">2023-06-09T07:00:00Z</dcterms:created>
  <dcterms:modified xsi:type="dcterms:W3CDTF">2023-07-19T12:34:00Z</dcterms:modified>
</cp:coreProperties>
</file>