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E37" w:rsidRPr="003436C3" w:rsidRDefault="00D60E37" w:rsidP="00E007E6">
      <w:pPr>
        <w:spacing w:after="0" w:line="240" w:lineRule="auto"/>
        <w:jc w:val="center"/>
        <w:rPr>
          <w:rFonts w:ascii="Times New Roman" w:hAnsi="Times New Roman" w:cs="Times New Roman"/>
          <w:b/>
          <w:bCs/>
          <w:sz w:val="24"/>
          <w:szCs w:val="24"/>
        </w:rPr>
      </w:pPr>
      <w:r w:rsidRPr="003436C3">
        <w:rPr>
          <w:rFonts w:ascii="Times New Roman" w:hAnsi="Times New Roman" w:cs="Times New Roman"/>
          <w:b/>
          <w:bCs/>
          <w:sz w:val="24"/>
          <w:szCs w:val="24"/>
        </w:rPr>
        <w:t>ТЕХНИЧЕСКОЕ ЗАДАНИЕ</w:t>
      </w:r>
    </w:p>
    <w:p w:rsidR="002A542D" w:rsidRDefault="00D60E37" w:rsidP="00E946F8">
      <w:pPr>
        <w:spacing w:after="0" w:line="240" w:lineRule="auto"/>
        <w:jc w:val="center"/>
        <w:rPr>
          <w:rFonts w:ascii="Times New Roman" w:hAnsi="Times New Roman" w:cs="Times New Roman"/>
          <w:b/>
          <w:sz w:val="24"/>
          <w:szCs w:val="24"/>
        </w:rPr>
      </w:pPr>
      <w:r w:rsidRPr="003436C3">
        <w:rPr>
          <w:rFonts w:ascii="Times New Roman" w:hAnsi="Times New Roman" w:cs="Times New Roman"/>
          <w:b/>
          <w:sz w:val="24"/>
          <w:szCs w:val="24"/>
        </w:rPr>
        <w:t xml:space="preserve">на </w:t>
      </w:r>
      <w:r w:rsidR="00E7440B" w:rsidRPr="003436C3">
        <w:rPr>
          <w:rFonts w:ascii="Times New Roman" w:hAnsi="Times New Roman" w:cs="Times New Roman"/>
          <w:b/>
          <w:sz w:val="24"/>
          <w:szCs w:val="24"/>
        </w:rPr>
        <w:t>выполнение комплекса буро</w:t>
      </w:r>
      <w:r w:rsidR="00E83F29">
        <w:rPr>
          <w:rFonts w:ascii="Times New Roman" w:hAnsi="Times New Roman" w:cs="Times New Roman"/>
          <w:b/>
          <w:sz w:val="24"/>
          <w:szCs w:val="24"/>
        </w:rPr>
        <w:t xml:space="preserve">вых и </w:t>
      </w:r>
      <w:r w:rsidR="00E7440B" w:rsidRPr="003436C3">
        <w:rPr>
          <w:rFonts w:ascii="Times New Roman" w:hAnsi="Times New Roman" w:cs="Times New Roman"/>
          <w:b/>
          <w:sz w:val="24"/>
          <w:szCs w:val="24"/>
        </w:rPr>
        <w:t>взрывных работ</w:t>
      </w:r>
    </w:p>
    <w:p w:rsidR="00D60E37" w:rsidRPr="009D6801" w:rsidRDefault="0004227E" w:rsidP="00E946F8">
      <w:pPr>
        <w:tabs>
          <w:tab w:val="left" w:pos="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карьере </w:t>
      </w:r>
      <w:r w:rsidR="00317309">
        <w:rPr>
          <w:rFonts w:ascii="Times New Roman" w:hAnsi="Times New Roman" w:cs="Times New Roman"/>
          <w:b/>
          <w:sz w:val="24"/>
          <w:szCs w:val="24"/>
        </w:rPr>
        <w:t xml:space="preserve">Липецкого филиала </w:t>
      </w:r>
      <w:r>
        <w:rPr>
          <w:rFonts w:ascii="Times New Roman" w:hAnsi="Times New Roman" w:cs="Times New Roman"/>
          <w:b/>
          <w:sz w:val="24"/>
          <w:szCs w:val="24"/>
        </w:rPr>
        <w:t>А</w:t>
      </w:r>
      <w:r w:rsidR="001447A8" w:rsidRPr="001447A8">
        <w:rPr>
          <w:rFonts w:ascii="Times New Roman" w:hAnsi="Times New Roman" w:cs="Times New Roman"/>
          <w:b/>
          <w:sz w:val="24"/>
          <w:szCs w:val="24"/>
        </w:rPr>
        <w:t>О «</w:t>
      </w:r>
      <w:r w:rsidR="00317309">
        <w:rPr>
          <w:rFonts w:ascii="Times New Roman" w:hAnsi="Times New Roman" w:cs="Times New Roman"/>
          <w:b/>
          <w:sz w:val="24"/>
          <w:szCs w:val="24"/>
        </w:rPr>
        <w:t>ЦЕМРОС</w:t>
      </w:r>
      <w:r w:rsidR="006A2E29">
        <w:rPr>
          <w:rFonts w:ascii="Times New Roman" w:hAnsi="Times New Roman" w:cs="Times New Roman"/>
          <w:b/>
          <w:sz w:val="24"/>
          <w:szCs w:val="24"/>
        </w:rPr>
        <w:t>» на Сокольском участ</w:t>
      </w:r>
      <w:r w:rsidR="001447A8" w:rsidRPr="001447A8">
        <w:rPr>
          <w:rFonts w:ascii="Times New Roman" w:hAnsi="Times New Roman" w:cs="Times New Roman"/>
          <w:b/>
          <w:sz w:val="24"/>
          <w:szCs w:val="24"/>
        </w:rPr>
        <w:t xml:space="preserve">ке Сокольско-Ситовского месторождения </w:t>
      </w:r>
      <w:r w:rsidR="009C0724">
        <w:rPr>
          <w:rFonts w:ascii="Times New Roman" w:hAnsi="Times New Roman" w:cs="Times New Roman"/>
          <w:b/>
          <w:sz w:val="24"/>
          <w:szCs w:val="24"/>
        </w:rPr>
        <w:t>в 202</w:t>
      </w:r>
      <w:r w:rsidR="00317309">
        <w:rPr>
          <w:rFonts w:ascii="Times New Roman" w:hAnsi="Times New Roman" w:cs="Times New Roman"/>
          <w:b/>
          <w:sz w:val="24"/>
          <w:szCs w:val="24"/>
        </w:rPr>
        <w:t>5</w:t>
      </w:r>
      <w:r w:rsidR="00E946F8">
        <w:rPr>
          <w:rFonts w:ascii="Times New Roman" w:hAnsi="Times New Roman" w:cs="Times New Roman"/>
          <w:b/>
          <w:sz w:val="24"/>
          <w:szCs w:val="24"/>
        </w:rPr>
        <w:t xml:space="preserve"> </w:t>
      </w:r>
      <w:r w:rsidR="001447A8" w:rsidRPr="00C66F55">
        <w:rPr>
          <w:rFonts w:ascii="Times New Roman" w:hAnsi="Times New Roman" w:cs="Times New Roman"/>
          <w:b/>
          <w:sz w:val="24"/>
          <w:szCs w:val="24"/>
        </w:rPr>
        <w:t>г.</w:t>
      </w:r>
    </w:p>
    <w:p w:rsidR="009C0724" w:rsidRPr="009D6801" w:rsidRDefault="009C0724" w:rsidP="00E007E6">
      <w:pPr>
        <w:tabs>
          <w:tab w:val="left" w:pos="0"/>
        </w:tabs>
        <w:autoSpaceDE w:val="0"/>
        <w:autoSpaceDN w:val="0"/>
        <w:adjustRightInd w:val="0"/>
        <w:spacing w:after="0" w:line="240" w:lineRule="auto"/>
        <w:jc w:val="both"/>
        <w:rPr>
          <w:rFonts w:ascii="Times New Roman" w:hAnsi="Times New Roman" w:cs="Times New Roman"/>
          <w:sz w:val="24"/>
          <w:szCs w:val="24"/>
        </w:rPr>
      </w:pPr>
    </w:p>
    <w:tbl>
      <w:tblPr>
        <w:tblStyle w:val="ad"/>
        <w:tblW w:w="0" w:type="auto"/>
        <w:tblInd w:w="-601" w:type="dxa"/>
        <w:tblLook w:val="04A0" w:firstRow="1" w:lastRow="0" w:firstColumn="1" w:lastColumn="0" w:noHBand="0" w:noVBand="1"/>
      </w:tblPr>
      <w:tblGrid>
        <w:gridCol w:w="562"/>
        <w:gridCol w:w="2918"/>
        <w:gridCol w:w="6466"/>
      </w:tblGrid>
      <w:tr w:rsidR="003436C3" w:rsidRPr="003436C3" w:rsidTr="006A2E29">
        <w:tc>
          <w:tcPr>
            <w:tcW w:w="567" w:type="dxa"/>
            <w:hideMark/>
          </w:tcPr>
          <w:p w:rsidR="003436C3" w:rsidRPr="003436C3" w:rsidRDefault="003436C3" w:rsidP="003436C3">
            <w:pPr>
              <w:spacing w:after="0" w:line="240" w:lineRule="auto"/>
              <w:jc w:val="center"/>
              <w:rPr>
                <w:rFonts w:ascii="Times New Roman" w:hAnsi="Times New Roman" w:cs="Times New Roman"/>
                <w:b/>
                <w:bCs/>
                <w:sz w:val="20"/>
                <w:szCs w:val="20"/>
              </w:rPr>
            </w:pPr>
            <w:bookmarkStart w:id="0" w:name="RANGE!A2:C14"/>
            <w:r w:rsidRPr="003436C3">
              <w:rPr>
                <w:rFonts w:ascii="Times New Roman" w:hAnsi="Times New Roman" w:cs="Times New Roman"/>
                <w:b/>
                <w:bCs/>
                <w:sz w:val="20"/>
                <w:szCs w:val="20"/>
              </w:rPr>
              <w:t>№ п/п</w:t>
            </w:r>
            <w:bookmarkEnd w:id="0"/>
          </w:p>
        </w:tc>
        <w:tc>
          <w:tcPr>
            <w:tcW w:w="3016" w:type="dxa"/>
            <w:hideMark/>
          </w:tcPr>
          <w:p w:rsidR="003436C3" w:rsidRPr="009C0724" w:rsidRDefault="003436C3" w:rsidP="003436C3">
            <w:pPr>
              <w:spacing w:after="0" w:line="240" w:lineRule="auto"/>
              <w:jc w:val="center"/>
              <w:rPr>
                <w:rFonts w:ascii="Times New Roman" w:hAnsi="Times New Roman" w:cs="Times New Roman"/>
                <w:b/>
                <w:bCs/>
              </w:rPr>
            </w:pPr>
            <w:r w:rsidRPr="009C0724">
              <w:rPr>
                <w:rFonts w:ascii="Times New Roman" w:hAnsi="Times New Roman" w:cs="Times New Roman"/>
                <w:b/>
                <w:bCs/>
              </w:rPr>
              <w:t>Перечень основных данных и требований</w:t>
            </w:r>
          </w:p>
        </w:tc>
        <w:tc>
          <w:tcPr>
            <w:tcW w:w="6589" w:type="dxa"/>
            <w:hideMark/>
          </w:tcPr>
          <w:p w:rsidR="003436C3" w:rsidRPr="009C0724" w:rsidRDefault="003436C3" w:rsidP="003436C3">
            <w:pPr>
              <w:spacing w:after="0" w:line="240" w:lineRule="auto"/>
              <w:jc w:val="center"/>
              <w:rPr>
                <w:rFonts w:ascii="Times New Roman" w:hAnsi="Times New Roman" w:cs="Times New Roman"/>
                <w:b/>
                <w:bCs/>
              </w:rPr>
            </w:pPr>
            <w:r w:rsidRPr="009C0724">
              <w:rPr>
                <w:rFonts w:ascii="Times New Roman" w:hAnsi="Times New Roman" w:cs="Times New Roman"/>
                <w:b/>
                <w:bCs/>
              </w:rPr>
              <w:t>Основные данные и требования</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b/>
                <w:bCs/>
                <w:sz w:val="20"/>
                <w:szCs w:val="20"/>
              </w:rPr>
            </w:pPr>
          </w:p>
        </w:tc>
        <w:tc>
          <w:tcPr>
            <w:tcW w:w="3016" w:type="dxa"/>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Наименование Заказчика</w:t>
            </w:r>
          </w:p>
        </w:tc>
        <w:tc>
          <w:tcPr>
            <w:tcW w:w="6589" w:type="dxa"/>
          </w:tcPr>
          <w:p w:rsidR="003436C3" w:rsidRPr="00934222" w:rsidRDefault="0004227E" w:rsidP="006A2E29">
            <w:pPr>
              <w:spacing w:after="0" w:line="240" w:lineRule="auto"/>
              <w:rPr>
                <w:rFonts w:ascii="Times New Roman" w:hAnsi="Times New Roman" w:cs="Times New Roman"/>
              </w:rPr>
            </w:pPr>
            <w:r>
              <w:rPr>
                <w:rFonts w:ascii="Times New Roman" w:hAnsi="Times New Roman" w:cs="Times New Roman"/>
              </w:rPr>
              <w:t>АО «</w:t>
            </w:r>
            <w:r w:rsidR="00317309">
              <w:rPr>
                <w:rFonts w:ascii="Times New Roman" w:hAnsi="Times New Roman" w:cs="Times New Roman"/>
              </w:rPr>
              <w:t>ЦЕМРОС</w:t>
            </w:r>
            <w:r w:rsidR="001447A8" w:rsidRPr="00934222">
              <w:rPr>
                <w:rFonts w:ascii="Times New Roman" w:hAnsi="Times New Roman" w:cs="Times New Roman"/>
              </w:rPr>
              <w:t>»</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 xml:space="preserve">Объект </w:t>
            </w:r>
          </w:p>
        </w:tc>
        <w:tc>
          <w:tcPr>
            <w:tcW w:w="6589" w:type="dxa"/>
          </w:tcPr>
          <w:p w:rsidR="003436C3" w:rsidRPr="009C0724" w:rsidRDefault="001447A8" w:rsidP="003436C3">
            <w:pPr>
              <w:spacing w:after="0" w:line="240" w:lineRule="auto"/>
              <w:rPr>
                <w:rFonts w:ascii="Times New Roman" w:hAnsi="Times New Roman" w:cs="Times New Roman"/>
              </w:rPr>
            </w:pPr>
            <w:r w:rsidRPr="009C0724">
              <w:rPr>
                <w:rFonts w:ascii="Times New Roman" w:hAnsi="Times New Roman" w:cs="Times New Roman"/>
              </w:rPr>
              <w:t>Карьер известняка</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 xml:space="preserve">Местоположение </w:t>
            </w:r>
          </w:p>
        </w:tc>
        <w:tc>
          <w:tcPr>
            <w:tcW w:w="6589" w:type="dxa"/>
          </w:tcPr>
          <w:p w:rsidR="003436C3" w:rsidRPr="009C0724" w:rsidRDefault="001447A8" w:rsidP="003436C3">
            <w:pPr>
              <w:spacing w:after="0" w:line="240" w:lineRule="auto"/>
              <w:rPr>
                <w:rFonts w:ascii="Times New Roman" w:hAnsi="Times New Roman" w:cs="Times New Roman"/>
              </w:rPr>
            </w:pPr>
            <w:r w:rsidRPr="009C0724">
              <w:rPr>
                <w:rFonts w:ascii="Times New Roman" w:hAnsi="Times New Roman" w:cs="Times New Roman"/>
              </w:rPr>
              <w:t xml:space="preserve">Липецкая область, в 2,5 км северо-восточнее г. Липецк. </w:t>
            </w:r>
            <w:proofErr w:type="spellStart"/>
            <w:r w:rsidRPr="009C0724">
              <w:rPr>
                <w:rFonts w:ascii="Times New Roman" w:hAnsi="Times New Roman" w:cs="Times New Roman"/>
              </w:rPr>
              <w:t>Сокольский</w:t>
            </w:r>
            <w:proofErr w:type="spellEnd"/>
            <w:r w:rsidRPr="009C0724">
              <w:rPr>
                <w:rFonts w:ascii="Times New Roman" w:hAnsi="Times New Roman" w:cs="Times New Roman"/>
              </w:rPr>
              <w:t xml:space="preserve"> участок Сокольско-Ситовского месторождения.</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Сведения об объекте</w:t>
            </w:r>
          </w:p>
        </w:tc>
        <w:tc>
          <w:tcPr>
            <w:tcW w:w="6589" w:type="dxa"/>
          </w:tcPr>
          <w:p w:rsidR="003436C3" w:rsidRPr="009D6801" w:rsidRDefault="003436C3" w:rsidP="003436C3">
            <w:pPr>
              <w:spacing w:after="0" w:line="240" w:lineRule="auto"/>
              <w:rPr>
                <w:rFonts w:ascii="Times New Roman" w:hAnsi="Times New Roman" w:cs="Times New Roman"/>
              </w:rPr>
            </w:pPr>
            <w:r w:rsidRPr="009D6801">
              <w:rPr>
                <w:rFonts w:ascii="Times New Roman" w:hAnsi="Times New Roman" w:cs="Times New Roman"/>
              </w:rPr>
              <w:t xml:space="preserve">Карьер </w:t>
            </w:r>
            <w:r w:rsidR="009D6801">
              <w:rPr>
                <w:rFonts w:ascii="Times New Roman" w:hAnsi="Times New Roman" w:cs="Times New Roman"/>
              </w:rPr>
              <w:t xml:space="preserve">добычи </w:t>
            </w:r>
            <w:r w:rsidRPr="009D6801">
              <w:rPr>
                <w:rFonts w:ascii="Times New Roman" w:hAnsi="Times New Roman" w:cs="Times New Roman"/>
              </w:rPr>
              <w:t xml:space="preserve">известняка в качестве </w:t>
            </w:r>
            <w:r w:rsidR="009D6801">
              <w:rPr>
                <w:rFonts w:ascii="Times New Roman" w:hAnsi="Times New Roman" w:cs="Times New Roman"/>
              </w:rPr>
              <w:t xml:space="preserve">для цементного </w:t>
            </w:r>
            <w:r w:rsidR="009D6801" w:rsidRPr="009D6801">
              <w:rPr>
                <w:rFonts w:ascii="Times New Roman" w:hAnsi="Times New Roman" w:cs="Times New Roman"/>
              </w:rPr>
              <w:t>сырья</w:t>
            </w:r>
            <w:r w:rsidR="009D6801">
              <w:rPr>
                <w:rFonts w:ascii="Times New Roman" w:hAnsi="Times New Roman" w:cs="Times New Roman"/>
              </w:rPr>
              <w:t>.</w:t>
            </w:r>
          </w:p>
          <w:p w:rsidR="009D6801" w:rsidRDefault="009D6801" w:rsidP="00EC71C0">
            <w:pPr>
              <w:spacing w:after="0" w:line="240" w:lineRule="auto"/>
              <w:rPr>
                <w:rFonts w:ascii="Times New Roman" w:eastAsia="Arial Unicode MS" w:hAnsi="Times New Roman" w:cs="Times New Roman"/>
              </w:rPr>
            </w:pPr>
            <w:r w:rsidRPr="009D6801">
              <w:rPr>
                <w:rFonts w:ascii="Times New Roman" w:hAnsi="Times New Roman" w:cs="Times New Roman"/>
              </w:rPr>
              <w:t>И</w:t>
            </w:r>
            <w:r w:rsidR="00EC71C0" w:rsidRPr="009D6801">
              <w:rPr>
                <w:rFonts w:ascii="Times New Roman" w:hAnsi="Times New Roman" w:cs="Times New Roman"/>
              </w:rPr>
              <w:t xml:space="preserve">звестняк </w:t>
            </w:r>
            <w:r w:rsidRPr="009D6801">
              <w:rPr>
                <w:rFonts w:ascii="Times New Roman" w:eastAsiaTheme="minorEastAsia" w:hAnsi="Times New Roman" w:cs="Times New Roman"/>
              </w:rPr>
              <w:t xml:space="preserve">относится к IV группе грунтов по СНиП </w:t>
            </w:r>
            <w:r w:rsidRPr="009D6801">
              <w:rPr>
                <w:rFonts w:ascii="Times New Roman" w:eastAsia="Arial Unicode MS" w:hAnsi="Times New Roman" w:cs="Times New Roman"/>
              </w:rPr>
              <w:t xml:space="preserve">(коэффициент крепости по </w:t>
            </w:r>
            <w:proofErr w:type="spellStart"/>
            <w:r w:rsidRPr="009D6801">
              <w:rPr>
                <w:rFonts w:ascii="Times New Roman" w:eastAsia="Arial Unicode MS" w:hAnsi="Times New Roman" w:cs="Times New Roman"/>
              </w:rPr>
              <w:t>Протодьяконову</w:t>
            </w:r>
            <w:proofErr w:type="spellEnd"/>
            <w:r w:rsidRPr="009D6801">
              <w:rPr>
                <w:rFonts w:ascii="Times New Roman" w:eastAsia="Arial Unicode MS" w:hAnsi="Times New Roman" w:cs="Times New Roman"/>
              </w:rPr>
              <w:t xml:space="preserve"> 6-8)</w:t>
            </w:r>
            <w:r>
              <w:rPr>
                <w:rFonts w:ascii="Times New Roman" w:eastAsia="Arial Unicode MS" w:hAnsi="Times New Roman" w:cs="Times New Roman"/>
              </w:rPr>
              <w:t>.</w:t>
            </w:r>
          </w:p>
          <w:p w:rsidR="00EC71C0" w:rsidRDefault="009D6801" w:rsidP="00EC71C0">
            <w:pPr>
              <w:spacing w:after="0" w:line="240" w:lineRule="auto"/>
              <w:rPr>
                <w:rFonts w:ascii="Times New Roman" w:eastAsia="Arial Unicode MS" w:hAnsi="Times New Roman" w:cs="Times New Roman"/>
              </w:rPr>
            </w:pPr>
            <w:r w:rsidRPr="009D6801">
              <w:rPr>
                <w:rFonts w:ascii="Times New Roman" w:eastAsia="Arial Unicode MS" w:hAnsi="Times New Roman" w:cs="Times New Roman"/>
              </w:rPr>
              <w:t>О</w:t>
            </w:r>
            <w:r w:rsidR="006A2A7E">
              <w:rPr>
                <w:rFonts w:ascii="Times New Roman" w:eastAsia="Arial Unicode MS" w:hAnsi="Times New Roman" w:cs="Times New Roman"/>
              </w:rPr>
              <w:t>бъемный вес в плотном теле – 2,4</w:t>
            </w:r>
            <w:r w:rsidRPr="009D6801">
              <w:rPr>
                <w:rFonts w:ascii="Times New Roman" w:eastAsia="Arial Unicode MS" w:hAnsi="Times New Roman" w:cs="Times New Roman"/>
              </w:rPr>
              <w:t xml:space="preserve"> т/м</w:t>
            </w:r>
            <w:r w:rsidRPr="009D6801">
              <w:rPr>
                <w:rFonts w:ascii="Times New Roman" w:eastAsia="Arial Unicode MS" w:hAnsi="Times New Roman" w:cs="Times New Roman"/>
                <w:vertAlign w:val="superscript"/>
              </w:rPr>
              <w:t>3</w:t>
            </w:r>
            <w:r w:rsidRPr="009D6801">
              <w:rPr>
                <w:rFonts w:ascii="Times New Roman" w:eastAsia="Arial Unicode MS" w:hAnsi="Times New Roman" w:cs="Times New Roman"/>
              </w:rPr>
              <w:t>.</w:t>
            </w:r>
          </w:p>
          <w:p w:rsidR="009D6801" w:rsidRPr="009D6801" w:rsidRDefault="009D6801" w:rsidP="009D6801">
            <w:pPr>
              <w:spacing w:after="0" w:line="240" w:lineRule="auto"/>
              <w:rPr>
                <w:rFonts w:ascii="Times New Roman" w:hAnsi="Times New Roman" w:cs="Times New Roman"/>
              </w:rPr>
            </w:pPr>
            <w:r>
              <w:rPr>
                <w:rFonts w:ascii="Times New Roman" w:hAnsi="Times New Roman" w:cs="Times New Roman"/>
              </w:rPr>
              <w:t>М</w:t>
            </w:r>
            <w:r w:rsidRPr="009D6801">
              <w:rPr>
                <w:rFonts w:ascii="Times New Roman" w:hAnsi="Times New Roman" w:cs="Times New Roman"/>
              </w:rPr>
              <w:t xml:space="preserve">ощность полезной толщи известняка </w:t>
            </w:r>
            <w:r w:rsidR="00991DC5">
              <w:rPr>
                <w:rFonts w:ascii="Times New Roman" w:hAnsi="Times New Roman" w:cs="Times New Roman"/>
              </w:rPr>
              <w:t xml:space="preserve">(средняя) – 21 </w:t>
            </w:r>
            <w:r w:rsidR="00DD46D1">
              <w:rPr>
                <w:rFonts w:ascii="Times New Roman" w:hAnsi="Times New Roman" w:cs="Times New Roman"/>
              </w:rPr>
              <w:t>м.</w:t>
            </w:r>
          </w:p>
          <w:p w:rsidR="00EC71C0" w:rsidRPr="009D6801" w:rsidRDefault="009D6801" w:rsidP="00EC71C0">
            <w:pPr>
              <w:spacing w:after="0" w:line="240" w:lineRule="auto"/>
              <w:rPr>
                <w:rFonts w:ascii="Times New Roman" w:hAnsi="Times New Roman" w:cs="Times New Roman"/>
              </w:rPr>
            </w:pPr>
            <w:r w:rsidRPr="006A2A7E">
              <w:rPr>
                <w:rFonts w:ascii="Times New Roman" w:hAnsi="Times New Roman" w:cs="Times New Roman"/>
              </w:rPr>
              <w:t>П</w:t>
            </w:r>
            <w:r w:rsidR="00EC71C0" w:rsidRPr="006A2A7E">
              <w:rPr>
                <w:rFonts w:ascii="Times New Roman" w:hAnsi="Times New Roman" w:cs="Times New Roman"/>
              </w:rPr>
              <w:t xml:space="preserve">рочность известняка на сжатие </w:t>
            </w:r>
            <w:r w:rsidR="001447A8" w:rsidRPr="006A2A7E">
              <w:rPr>
                <w:rFonts w:ascii="Times New Roman" w:hAnsi="Times New Roman" w:cs="Times New Roman"/>
              </w:rPr>
              <w:t>300-800</w:t>
            </w:r>
            <w:r w:rsidR="00EC71C0" w:rsidRPr="006A2A7E">
              <w:rPr>
                <w:rFonts w:ascii="Times New Roman" w:hAnsi="Times New Roman" w:cs="Times New Roman"/>
              </w:rPr>
              <w:t xml:space="preserve"> </w:t>
            </w:r>
            <w:r w:rsidR="001447A8" w:rsidRPr="006A2A7E">
              <w:rPr>
                <w:rFonts w:ascii="Times New Roman" w:hAnsi="Times New Roman" w:cs="Times New Roman"/>
              </w:rPr>
              <w:t>кг/см</w:t>
            </w:r>
            <w:r w:rsidRPr="006A2A7E">
              <w:rPr>
                <w:rFonts w:ascii="Times New Roman" w:hAnsi="Times New Roman" w:cs="Times New Roman"/>
                <w:vertAlign w:val="superscript"/>
              </w:rPr>
              <w:t>2</w:t>
            </w:r>
            <w:r w:rsidR="00DD46D1" w:rsidRPr="006A2A7E">
              <w:rPr>
                <w:rFonts w:ascii="Times New Roman" w:hAnsi="Times New Roman" w:cs="Times New Roman"/>
              </w:rPr>
              <w:t>.</w:t>
            </w:r>
          </w:p>
          <w:p w:rsidR="00EC71C0" w:rsidRPr="009D6801" w:rsidRDefault="009D6801" w:rsidP="00EC71C0">
            <w:pPr>
              <w:spacing w:after="0" w:line="240" w:lineRule="auto"/>
              <w:rPr>
                <w:rFonts w:ascii="Times New Roman" w:hAnsi="Times New Roman" w:cs="Times New Roman"/>
              </w:rPr>
            </w:pPr>
            <w:r>
              <w:rPr>
                <w:rFonts w:ascii="Times New Roman" w:hAnsi="Times New Roman" w:cs="Times New Roman"/>
              </w:rPr>
              <w:t>Количество добычных уступов</w:t>
            </w:r>
            <w:r w:rsidR="00EC71C0" w:rsidRPr="009D6801">
              <w:rPr>
                <w:rFonts w:ascii="Times New Roman" w:hAnsi="Times New Roman" w:cs="Times New Roman"/>
              </w:rPr>
              <w:t xml:space="preserve"> известняка – 2;</w:t>
            </w:r>
          </w:p>
          <w:p w:rsidR="009D6801" w:rsidRDefault="009D6801" w:rsidP="00EC71C0">
            <w:pPr>
              <w:spacing w:after="0" w:line="240" w:lineRule="auto"/>
              <w:rPr>
                <w:rFonts w:ascii="Times New Roman" w:eastAsiaTheme="minorEastAsia" w:hAnsi="Times New Roman" w:cs="Times New Roman"/>
              </w:rPr>
            </w:pPr>
            <w:r w:rsidRPr="009D6801">
              <w:rPr>
                <w:rFonts w:ascii="Times New Roman" w:eastAsiaTheme="minorEastAsia" w:hAnsi="Times New Roman" w:cs="Times New Roman"/>
              </w:rPr>
              <w:t xml:space="preserve">Средняя высота добычных уступов известняка </w:t>
            </w:r>
            <w:r>
              <w:rPr>
                <w:rFonts w:ascii="Times New Roman" w:eastAsiaTheme="minorEastAsia" w:hAnsi="Times New Roman" w:cs="Times New Roman"/>
              </w:rPr>
              <w:t xml:space="preserve">- </w:t>
            </w:r>
            <w:r w:rsidRPr="009D6801">
              <w:rPr>
                <w:rFonts w:ascii="Times New Roman" w:eastAsiaTheme="minorEastAsia" w:hAnsi="Times New Roman" w:cs="Times New Roman"/>
              </w:rPr>
              <w:t>10 м</w:t>
            </w:r>
            <w:r>
              <w:rPr>
                <w:rFonts w:ascii="Times New Roman" w:eastAsiaTheme="minorEastAsia" w:hAnsi="Times New Roman" w:cs="Times New Roman"/>
              </w:rPr>
              <w:t>.</w:t>
            </w:r>
            <w:r w:rsidR="000C1A89">
              <w:rPr>
                <w:rFonts w:ascii="Times New Roman" w:eastAsiaTheme="minorEastAsia" w:hAnsi="Times New Roman" w:cs="Times New Roman"/>
              </w:rPr>
              <w:t xml:space="preserve"> </w:t>
            </w:r>
            <w:r w:rsidR="000C1A89" w:rsidRPr="000C1A89">
              <w:rPr>
                <w:rFonts w:ascii="Times New Roman" w:eastAsiaTheme="minorEastAsia" w:hAnsi="Times New Roman" w:cs="Times New Roman"/>
              </w:rPr>
              <w:t>(</w:t>
            </w:r>
            <w:r w:rsidR="000C1A89">
              <w:rPr>
                <w:rFonts w:ascii="Times New Roman" w:eastAsiaTheme="minorEastAsia" w:hAnsi="Times New Roman" w:cs="Times New Roman"/>
              </w:rPr>
              <w:t>верхний</w:t>
            </w:r>
            <w:r w:rsidR="000C1A89" w:rsidRPr="000C1A89">
              <w:rPr>
                <w:rFonts w:ascii="Times New Roman" w:eastAsiaTheme="minorEastAsia" w:hAnsi="Times New Roman" w:cs="Times New Roman"/>
              </w:rPr>
              <w:t xml:space="preserve"> -11</w:t>
            </w:r>
            <w:r w:rsidR="000C1A89">
              <w:rPr>
                <w:rFonts w:ascii="Times New Roman" w:eastAsiaTheme="minorEastAsia" w:hAnsi="Times New Roman" w:cs="Times New Roman"/>
              </w:rPr>
              <w:t>,5 м, нижний</w:t>
            </w:r>
            <w:r w:rsidR="000C1A89" w:rsidRPr="000C1A89">
              <w:rPr>
                <w:rFonts w:ascii="Times New Roman" w:eastAsiaTheme="minorEastAsia" w:hAnsi="Times New Roman" w:cs="Times New Roman"/>
              </w:rPr>
              <w:t xml:space="preserve"> </w:t>
            </w:r>
            <w:r w:rsidR="000C1A89">
              <w:rPr>
                <w:rFonts w:ascii="Times New Roman" w:eastAsiaTheme="minorEastAsia" w:hAnsi="Times New Roman" w:cs="Times New Roman"/>
              </w:rPr>
              <w:t>–</w:t>
            </w:r>
            <w:r w:rsidR="000C1A89" w:rsidRPr="000C1A89">
              <w:rPr>
                <w:rFonts w:ascii="Times New Roman" w:eastAsiaTheme="minorEastAsia" w:hAnsi="Times New Roman" w:cs="Times New Roman"/>
              </w:rPr>
              <w:t xml:space="preserve"> 9</w:t>
            </w:r>
            <w:r w:rsidR="000C1A89">
              <w:rPr>
                <w:rFonts w:ascii="Times New Roman" w:eastAsiaTheme="minorEastAsia" w:hAnsi="Times New Roman" w:cs="Times New Roman"/>
              </w:rPr>
              <w:t>,</w:t>
            </w:r>
            <w:r w:rsidR="000C1A89" w:rsidRPr="000C1A89">
              <w:rPr>
                <w:rFonts w:ascii="Times New Roman" w:eastAsiaTheme="minorEastAsia" w:hAnsi="Times New Roman" w:cs="Times New Roman"/>
              </w:rPr>
              <w:t xml:space="preserve">5 </w:t>
            </w:r>
            <w:r w:rsidR="000C1A89">
              <w:rPr>
                <w:rFonts w:ascii="Times New Roman" w:eastAsiaTheme="minorEastAsia" w:hAnsi="Times New Roman" w:cs="Times New Roman"/>
              </w:rPr>
              <w:t>м</w:t>
            </w:r>
            <w:r w:rsidR="000C1A89" w:rsidRPr="000C1A89">
              <w:rPr>
                <w:rFonts w:ascii="Times New Roman" w:eastAsiaTheme="minorEastAsia" w:hAnsi="Times New Roman" w:cs="Times New Roman"/>
              </w:rPr>
              <w:t>)</w:t>
            </w:r>
            <w:r w:rsidR="005B1A86">
              <w:rPr>
                <w:rFonts w:ascii="Times New Roman" w:eastAsiaTheme="minorEastAsia" w:hAnsi="Times New Roman" w:cs="Times New Roman"/>
              </w:rPr>
              <w:t>.</w:t>
            </w:r>
          </w:p>
          <w:p w:rsidR="005B1A86" w:rsidRDefault="005B1A86" w:rsidP="00EC71C0">
            <w:pPr>
              <w:spacing w:after="0" w:line="240" w:lineRule="auto"/>
              <w:rPr>
                <w:rFonts w:ascii="Times New Roman" w:hAnsi="Times New Roman" w:cs="Times New Roman"/>
              </w:rPr>
            </w:pPr>
            <w:r>
              <w:rPr>
                <w:rFonts w:ascii="Times New Roman" w:hAnsi="Times New Roman" w:cs="Times New Roman"/>
              </w:rPr>
              <w:t>Сетка бурения на горизонте +127 м – 4х4 м, на горизонте +117 м. – 3х3 м.</w:t>
            </w:r>
          </w:p>
          <w:p w:rsidR="00E031DF" w:rsidRPr="000C1A89" w:rsidRDefault="00E031DF" w:rsidP="00EC71C0">
            <w:pPr>
              <w:spacing w:after="0" w:line="240" w:lineRule="auto"/>
              <w:rPr>
                <w:rFonts w:ascii="Times New Roman" w:hAnsi="Times New Roman" w:cs="Times New Roman"/>
              </w:rPr>
            </w:pPr>
            <w:r>
              <w:rPr>
                <w:rFonts w:ascii="Times New Roman" w:hAnsi="Times New Roman" w:cs="Times New Roman"/>
              </w:rPr>
              <w:t>Крайние скважины бурятся по</w:t>
            </w:r>
            <w:r w:rsidR="003D63F4">
              <w:rPr>
                <w:rFonts w:ascii="Times New Roman" w:hAnsi="Times New Roman" w:cs="Times New Roman"/>
              </w:rPr>
              <w:t>д</w:t>
            </w:r>
            <w:r>
              <w:rPr>
                <w:rFonts w:ascii="Times New Roman" w:hAnsi="Times New Roman" w:cs="Times New Roman"/>
              </w:rPr>
              <w:t xml:space="preserve"> наклоном (угол </w:t>
            </w:r>
            <w:r w:rsidR="003D63F4">
              <w:rPr>
                <w:rFonts w:ascii="Times New Roman" w:hAnsi="Times New Roman" w:cs="Times New Roman"/>
              </w:rPr>
              <w:t>откоса уступа</w:t>
            </w:r>
            <w:r w:rsidR="003D63F4" w:rsidRPr="003D63F4">
              <w:rPr>
                <w:rFonts w:ascii="Times New Roman" w:hAnsi="Times New Roman" w:cs="Times New Roman"/>
              </w:rPr>
              <w:t xml:space="preserve"> 40-</w:t>
            </w:r>
            <w:r w:rsidR="003D63F4">
              <w:rPr>
                <w:rFonts w:ascii="Times New Roman" w:hAnsi="Times New Roman" w:cs="Times New Roman"/>
              </w:rPr>
              <w:t>45 º)</w:t>
            </w:r>
            <w:r>
              <w:rPr>
                <w:rFonts w:ascii="Times New Roman" w:hAnsi="Times New Roman" w:cs="Times New Roman"/>
              </w:rPr>
              <w:t xml:space="preserve"> </w:t>
            </w:r>
          </w:p>
          <w:p w:rsidR="00EC71C0" w:rsidRPr="009D6801" w:rsidRDefault="00DD46D1" w:rsidP="00EC71C0">
            <w:pPr>
              <w:spacing w:after="0" w:line="240" w:lineRule="auto"/>
              <w:rPr>
                <w:rFonts w:ascii="Times New Roman" w:hAnsi="Times New Roman" w:cs="Times New Roman"/>
              </w:rPr>
            </w:pPr>
            <w:r>
              <w:rPr>
                <w:rFonts w:ascii="Times New Roman" w:hAnsi="Times New Roman" w:cs="Times New Roman"/>
              </w:rPr>
              <w:t>З</w:t>
            </w:r>
            <w:r w:rsidR="00EC71C0" w:rsidRPr="009D6801">
              <w:rPr>
                <w:rFonts w:ascii="Times New Roman" w:hAnsi="Times New Roman" w:cs="Times New Roman"/>
              </w:rPr>
              <w:t>але</w:t>
            </w:r>
            <w:r>
              <w:rPr>
                <w:rFonts w:ascii="Times New Roman" w:hAnsi="Times New Roman" w:cs="Times New Roman"/>
              </w:rPr>
              <w:t>гание известняка горизонтальное.</w:t>
            </w:r>
          </w:p>
          <w:p w:rsidR="00EC71C0" w:rsidRPr="009D6801" w:rsidRDefault="00DD46D1" w:rsidP="00EC71C0">
            <w:pPr>
              <w:spacing w:after="0" w:line="240" w:lineRule="auto"/>
              <w:rPr>
                <w:rFonts w:ascii="Times New Roman" w:hAnsi="Times New Roman" w:cs="Times New Roman"/>
              </w:rPr>
            </w:pPr>
            <w:r>
              <w:rPr>
                <w:rFonts w:ascii="Times New Roman" w:hAnsi="Times New Roman" w:cs="Times New Roman"/>
              </w:rPr>
              <w:t>Известняки необводненные.</w:t>
            </w:r>
          </w:p>
          <w:p w:rsidR="003436C3" w:rsidRPr="009D6801" w:rsidRDefault="003436C3" w:rsidP="003436C3">
            <w:pPr>
              <w:spacing w:after="0" w:line="240" w:lineRule="auto"/>
              <w:rPr>
                <w:rFonts w:ascii="Times New Roman" w:hAnsi="Times New Roman" w:cs="Times New Roman"/>
              </w:rPr>
            </w:pPr>
            <w:r w:rsidRPr="009D6801">
              <w:rPr>
                <w:rFonts w:ascii="Times New Roman" w:hAnsi="Times New Roman" w:cs="Times New Roman"/>
              </w:rPr>
              <w:t xml:space="preserve">Разработка известняка ведется экскаваторами типа: </w:t>
            </w:r>
            <w:r w:rsidR="00537BCF">
              <w:rPr>
                <w:rFonts w:ascii="Times New Roman" w:hAnsi="Times New Roman" w:cs="Times New Roman"/>
              </w:rPr>
              <w:t>ЭКГ-5А</w:t>
            </w:r>
            <w:r w:rsidR="009D6801" w:rsidRPr="009D6801">
              <w:rPr>
                <w:rFonts w:ascii="Times New Roman" w:hAnsi="Times New Roman" w:cs="Times New Roman"/>
              </w:rPr>
              <w:t xml:space="preserve">, объем </w:t>
            </w:r>
            <w:r w:rsidR="001447A8" w:rsidRPr="009D6801">
              <w:rPr>
                <w:rFonts w:ascii="Times New Roman" w:hAnsi="Times New Roman" w:cs="Times New Roman"/>
              </w:rPr>
              <w:t>ковш</w:t>
            </w:r>
            <w:r w:rsidR="009D6801" w:rsidRPr="009D6801">
              <w:rPr>
                <w:rFonts w:ascii="Times New Roman" w:hAnsi="Times New Roman" w:cs="Times New Roman"/>
              </w:rPr>
              <w:t>а</w:t>
            </w:r>
            <w:r w:rsidR="001447A8" w:rsidRPr="009D6801">
              <w:rPr>
                <w:rFonts w:ascii="Times New Roman" w:hAnsi="Times New Roman" w:cs="Times New Roman"/>
              </w:rPr>
              <w:t xml:space="preserve"> 5 м³</w:t>
            </w:r>
            <w:r w:rsidRPr="009D6801">
              <w:rPr>
                <w:rFonts w:ascii="Times New Roman" w:hAnsi="Times New Roman" w:cs="Times New Roman"/>
              </w:rPr>
              <w:t>.</w:t>
            </w:r>
          </w:p>
          <w:p w:rsidR="003436C3" w:rsidRPr="009D6801" w:rsidRDefault="003436C3" w:rsidP="003436C3">
            <w:pPr>
              <w:spacing w:after="0" w:line="240" w:lineRule="auto"/>
              <w:rPr>
                <w:rFonts w:ascii="Times New Roman" w:hAnsi="Times New Roman" w:cs="Times New Roman"/>
              </w:rPr>
            </w:pPr>
            <w:r w:rsidRPr="009D6801">
              <w:rPr>
                <w:rFonts w:ascii="Times New Roman" w:hAnsi="Times New Roman" w:cs="Times New Roman"/>
              </w:rPr>
              <w:t xml:space="preserve">Транспортировка известняка осуществляется автосамосвалами </w:t>
            </w:r>
            <w:r w:rsidR="009D6801" w:rsidRPr="009D6801">
              <w:rPr>
                <w:rFonts w:ascii="Times New Roman" w:hAnsi="Times New Roman" w:cs="Times New Roman"/>
              </w:rPr>
              <w:t>БелАЗ 7547,7548.</w:t>
            </w:r>
            <w:r w:rsidR="001447A8" w:rsidRPr="009D6801">
              <w:rPr>
                <w:rFonts w:ascii="Times New Roman" w:hAnsi="Times New Roman" w:cs="Times New Roman"/>
              </w:rPr>
              <w:t xml:space="preserve"> </w:t>
            </w:r>
          </w:p>
          <w:p w:rsidR="009D6801" w:rsidRPr="009D6801" w:rsidRDefault="003436C3" w:rsidP="00DD46D1">
            <w:pPr>
              <w:spacing w:after="0" w:line="240" w:lineRule="auto"/>
              <w:rPr>
                <w:rFonts w:ascii="Times New Roman" w:hAnsi="Times New Roman" w:cs="Times New Roman"/>
              </w:rPr>
            </w:pPr>
            <w:r w:rsidRPr="009D6801">
              <w:rPr>
                <w:rFonts w:ascii="Times New Roman" w:hAnsi="Times New Roman" w:cs="Times New Roman"/>
              </w:rPr>
              <w:t>Коэффициент разрыхления после БВР – 1,</w:t>
            </w:r>
            <w:r w:rsidR="001447A8" w:rsidRPr="009D6801">
              <w:rPr>
                <w:rFonts w:ascii="Times New Roman" w:hAnsi="Times New Roman" w:cs="Times New Roman"/>
              </w:rPr>
              <w:t>4</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Режим работы объекта:</w:t>
            </w:r>
          </w:p>
        </w:tc>
        <w:tc>
          <w:tcPr>
            <w:tcW w:w="6589" w:type="dxa"/>
          </w:tcPr>
          <w:p w:rsidR="003436C3" w:rsidRPr="009C0724" w:rsidRDefault="001447A8" w:rsidP="003436C3">
            <w:pPr>
              <w:spacing w:after="0" w:line="240" w:lineRule="auto"/>
              <w:rPr>
                <w:rFonts w:ascii="Times New Roman" w:hAnsi="Times New Roman" w:cs="Times New Roman"/>
              </w:rPr>
            </w:pPr>
            <w:r w:rsidRPr="009C0724">
              <w:rPr>
                <w:rFonts w:ascii="Times New Roman" w:hAnsi="Times New Roman" w:cs="Times New Roman"/>
              </w:rPr>
              <w:t>Круглогодовой при</w:t>
            </w:r>
            <w:r w:rsidR="009C0724">
              <w:rPr>
                <w:rFonts w:ascii="Times New Roman" w:hAnsi="Times New Roman" w:cs="Times New Roman"/>
              </w:rPr>
              <w:t xml:space="preserve"> непрерывной рабочей неделе  36</w:t>
            </w:r>
            <w:r w:rsidR="009C0724" w:rsidRPr="009C0724">
              <w:rPr>
                <w:rFonts w:ascii="Times New Roman" w:hAnsi="Times New Roman" w:cs="Times New Roman"/>
              </w:rPr>
              <w:t>5</w:t>
            </w:r>
            <w:r w:rsidRPr="009C0724">
              <w:rPr>
                <w:rFonts w:ascii="Times New Roman" w:hAnsi="Times New Roman" w:cs="Times New Roman"/>
              </w:rPr>
              <w:t xml:space="preserve"> дней, количество смен в сутки – 1, продолжительность смены – 12 часов</w:t>
            </w:r>
            <w:r w:rsidR="003436C3" w:rsidRPr="009C0724">
              <w:rPr>
                <w:rFonts w:ascii="Times New Roman" w:hAnsi="Times New Roman" w:cs="Times New Roman"/>
              </w:rPr>
              <w:t>.</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Краткие характеристики выполняемых работ</w:t>
            </w:r>
          </w:p>
        </w:tc>
        <w:tc>
          <w:tcPr>
            <w:tcW w:w="6589" w:type="dxa"/>
            <w:hideMark/>
          </w:tcPr>
          <w:p w:rsidR="003436C3" w:rsidRPr="009C0724" w:rsidRDefault="003436C3" w:rsidP="00E54284">
            <w:pPr>
              <w:spacing w:after="0" w:line="240" w:lineRule="auto"/>
              <w:jc w:val="both"/>
              <w:rPr>
                <w:rFonts w:ascii="Times New Roman" w:hAnsi="Times New Roman" w:cs="Times New Roman"/>
              </w:rPr>
            </w:pPr>
            <w:r w:rsidRPr="009C0724">
              <w:rPr>
                <w:rFonts w:ascii="Times New Roman" w:hAnsi="Times New Roman" w:cs="Times New Roman"/>
              </w:rPr>
              <w:t xml:space="preserve">Осуществление буровых работ специализированным буровым оборудованием (дизельным, гидравлическим) для подготовки взрываемых скважин. Доставка взрывчатого материала (ВМ) на место проведения работ. Заряжание взрываемых скважин. Производство взрывных работ на объекте (карьер) Заказчика. Расчет проекта проведения взрывных работ на взрываемом блоке (разделке негабаритных кусков). Составление и расчет Типового проекта ведения взрывных работ, его согласование в РТН РФ. Осуществление охраны взрываемого блока на момент заряжания ВМ, охрана запретной зоны и взрывоопасной зоны. </w:t>
            </w:r>
            <w:r w:rsidR="0090686D" w:rsidRPr="009C0724">
              <w:rPr>
                <w:rFonts w:ascii="Times New Roman" w:hAnsi="Times New Roman" w:cs="Times New Roman"/>
              </w:rPr>
              <w:t xml:space="preserve">Подача звуковых сигналов взрывных работ. </w:t>
            </w:r>
            <w:r w:rsidRPr="009C0724">
              <w:rPr>
                <w:rFonts w:ascii="Times New Roman" w:hAnsi="Times New Roman" w:cs="Times New Roman"/>
              </w:rPr>
              <w:t>Охрана и сопровождение перевозимого ВМ до пункта назначения. Согласование маршрутов перевозки ВМ в РТН РФ. Получение разрешения в РТН РФ на осуществление взрыв</w:t>
            </w:r>
            <w:r w:rsidR="00C72441" w:rsidRPr="009C0724">
              <w:rPr>
                <w:rFonts w:ascii="Times New Roman" w:hAnsi="Times New Roman" w:cs="Times New Roman"/>
              </w:rPr>
              <w:t xml:space="preserve">ных работ на объекте Заказчика. Передача информации о времени производства взрывных работ в центр управления полетов (по необходимости). </w:t>
            </w:r>
            <w:r w:rsidRPr="009C0724">
              <w:rPr>
                <w:rFonts w:ascii="Times New Roman" w:hAnsi="Times New Roman" w:cs="Times New Roman"/>
              </w:rPr>
              <w:t>Использование неэлектрических систем взрывания типа «Коршун» и «</w:t>
            </w:r>
            <w:proofErr w:type="spellStart"/>
            <w:r w:rsidRPr="009C0724">
              <w:rPr>
                <w:rFonts w:ascii="Times New Roman" w:hAnsi="Times New Roman" w:cs="Times New Roman"/>
              </w:rPr>
              <w:t>Эделин</w:t>
            </w:r>
            <w:proofErr w:type="spellEnd"/>
            <w:r w:rsidRPr="009C0724">
              <w:rPr>
                <w:rFonts w:ascii="Times New Roman" w:hAnsi="Times New Roman" w:cs="Times New Roman"/>
              </w:rPr>
              <w:t>». Применен</w:t>
            </w:r>
            <w:r w:rsidR="009C0724">
              <w:rPr>
                <w:rFonts w:ascii="Times New Roman" w:hAnsi="Times New Roman" w:cs="Times New Roman"/>
              </w:rPr>
              <w:t>ие ВВ промышленного назначения.</w:t>
            </w:r>
            <w:r w:rsidR="009C0724" w:rsidRPr="009C0724">
              <w:rPr>
                <w:rFonts w:ascii="Times New Roman" w:hAnsi="Times New Roman" w:cs="Times New Roman"/>
              </w:rPr>
              <w:t xml:space="preserve"> </w:t>
            </w:r>
            <w:r w:rsidRPr="009C0724">
              <w:rPr>
                <w:rFonts w:ascii="Times New Roman" w:hAnsi="Times New Roman" w:cs="Times New Roman"/>
              </w:rPr>
              <w:t xml:space="preserve">Соблюдение требований Правил безопасности при производстве взрывных работ и Федеральных норм и правил в области промышленной безопасности при ведении горных работ и переработке полезных ископаемых. </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tabs>
                <w:tab w:val="num" w:pos="840"/>
              </w:tabs>
              <w:spacing w:after="0" w:line="240" w:lineRule="auto"/>
              <w:jc w:val="both"/>
              <w:rPr>
                <w:rFonts w:ascii="Times New Roman" w:hAnsi="Times New Roman" w:cs="Times New Roman"/>
                <w:b/>
                <w:u w:val="single"/>
              </w:rPr>
            </w:pPr>
            <w:r w:rsidRPr="009C0724">
              <w:rPr>
                <w:rFonts w:ascii="Times New Roman" w:hAnsi="Times New Roman" w:cs="Times New Roman"/>
              </w:rPr>
              <w:t>Количество</w:t>
            </w:r>
            <w:r w:rsidR="00C66F55" w:rsidRPr="009C0724">
              <w:rPr>
                <w:rFonts w:ascii="Times New Roman" w:hAnsi="Times New Roman" w:cs="Times New Roman"/>
              </w:rPr>
              <w:t>*</w:t>
            </w:r>
          </w:p>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выполняемых работ</w:t>
            </w:r>
          </w:p>
        </w:tc>
        <w:tc>
          <w:tcPr>
            <w:tcW w:w="6589" w:type="dxa"/>
            <w:hideMark/>
          </w:tcPr>
          <w:tbl>
            <w:tblPr>
              <w:tblStyle w:val="ad"/>
              <w:tblW w:w="5000" w:type="pct"/>
              <w:jc w:val="center"/>
              <w:tblLook w:val="04A0" w:firstRow="1" w:lastRow="0" w:firstColumn="1" w:lastColumn="0" w:noHBand="0" w:noVBand="1"/>
            </w:tblPr>
            <w:tblGrid>
              <w:gridCol w:w="2319"/>
              <w:gridCol w:w="759"/>
              <w:gridCol w:w="759"/>
              <w:gridCol w:w="795"/>
              <w:gridCol w:w="759"/>
              <w:gridCol w:w="849"/>
            </w:tblGrid>
            <w:tr w:rsidR="003436C3" w:rsidRPr="009C0724" w:rsidTr="00C66F55">
              <w:trPr>
                <w:trHeight w:val="565"/>
                <w:jc w:val="center"/>
              </w:trPr>
              <w:tc>
                <w:tcPr>
                  <w:tcW w:w="1858" w:type="pct"/>
                </w:tcPr>
                <w:p w:rsidR="003436C3" w:rsidRPr="009C0724" w:rsidRDefault="00E54284" w:rsidP="003436C3">
                  <w:pPr>
                    <w:pStyle w:val="af1"/>
                    <w:rPr>
                      <w:sz w:val="22"/>
                      <w:szCs w:val="22"/>
                      <w:lang w:val="ru-RU"/>
                    </w:rPr>
                  </w:pPr>
                  <w:r>
                    <w:rPr>
                      <w:sz w:val="22"/>
                      <w:szCs w:val="22"/>
                      <w:lang w:val="ru-RU"/>
                    </w:rPr>
                    <w:t>Наименование работ, ед. изм.</w:t>
                  </w:r>
                </w:p>
              </w:tc>
              <w:tc>
                <w:tcPr>
                  <w:tcW w:w="608" w:type="pct"/>
                </w:tcPr>
                <w:p w:rsidR="003436C3" w:rsidRPr="009C0724" w:rsidRDefault="003436C3" w:rsidP="003436C3">
                  <w:pPr>
                    <w:pStyle w:val="af1"/>
                    <w:rPr>
                      <w:sz w:val="22"/>
                      <w:szCs w:val="22"/>
                      <w:lang w:val="ru-RU"/>
                    </w:rPr>
                  </w:pPr>
                  <w:r w:rsidRPr="009C0724">
                    <w:rPr>
                      <w:sz w:val="22"/>
                      <w:szCs w:val="22"/>
                      <w:lang w:val="ru-RU"/>
                    </w:rPr>
                    <w:t>1 кв.</w:t>
                  </w:r>
                </w:p>
              </w:tc>
              <w:tc>
                <w:tcPr>
                  <w:tcW w:w="608" w:type="pct"/>
                </w:tcPr>
                <w:p w:rsidR="003436C3" w:rsidRPr="009C0724" w:rsidRDefault="003436C3" w:rsidP="003436C3">
                  <w:pPr>
                    <w:pStyle w:val="af1"/>
                    <w:rPr>
                      <w:sz w:val="22"/>
                      <w:szCs w:val="22"/>
                      <w:lang w:val="ru-RU"/>
                    </w:rPr>
                  </w:pPr>
                  <w:r w:rsidRPr="009C0724">
                    <w:rPr>
                      <w:sz w:val="22"/>
                      <w:szCs w:val="22"/>
                      <w:lang w:val="ru-RU"/>
                    </w:rPr>
                    <w:t>2 кв.</w:t>
                  </w:r>
                </w:p>
              </w:tc>
              <w:tc>
                <w:tcPr>
                  <w:tcW w:w="637" w:type="pct"/>
                </w:tcPr>
                <w:p w:rsidR="003436C3" w:rsidRPr="009C0724" w:rsidRDefault="003436C3" w:rsidP="003436C3">
                  <w:pPr>
                    <w:pStyle w:val="af1"/>
                    <w:rPr>
                      <w:sz w:val="22"/>
                      <w:szCs w:val="22"/>
                      <w:lang w:val="ru-RU"/>
                    </w:rPr>
                  </w:pPr>
                  <w:r w:rsidRPr="009C0724">
                    <w:rPr>
                      <w:sz w:val="22"/>
                      <w:szCs w:val="22"/>
                      <w:lang w:val="ru-RU"/>
                    </w:rPr>
                    <w:t xml:space="preserve"> 3 кв.</w:t>
                  </w:r>
                </w:p>
              </w:tc>
              <w:tc>
                <w:tcPr>
                  <w:tcW w:w="608" w:type="pct"/>
                </w:tcPr>
                <w:p w:rsidR="003436C3" w:rsidRPr="009C0724" w:rsidRDefault="003436C3" w:rsidP="003436C3">
                  <w:pPr>
                    <w:pStyle w:val="af1"/>
                    <w:rPr>
                      <w:sz w:val="22"/>
                      <w:szCs w:val="22"/>
                      <w:lang w:val="ru-RU"/>
                    </w:rPr>
                  </w:pPr>
                  <w:r w:rsidRPr="009C0724">
                    <w:rPr>
                      <w:sz w:val="22"/>
                      <w:szCs w:val="22"/>
                      <w:lang w:val="ru-RU"/>
                    </w:rPr>
                    <w:t>4 кв.</w:t>
                  </w:r>
                </w:p>
              </w:tc>
              <w:tc>
                <w:tcPr>
                  <w:tcW w:w="680" w:type="pct"/>
                </w:tcPr>
                <w:p w:rsidR="003436C3" w:rsidRPr="009C0724" w:rsidRDefault="003436C3" w:rsidP="003436C3">
                  <w:pPr>
                    <w:pStyle w:val="af1"/>
                    <w:rPr>
                      <w:sz w:val="22"/>
                      <w:szCs w:val="22"/>
                      <w:lang w:val="ru-RU"/>
                    </w:rPr>
                  </w:pPr>
                  <w:r w:rsidRPr="009C0724">
                    <w:rPr>
                      <w:sz w:val="22"/>
                      <w:szCs w:val="22"/>
                      <w:lang w:val="ru-RU"/>
                    </w:rPr>
                    <w:t xml:space="preserve">Итого </w:t>
                  </w:r>
                </w:p>
                <w:p w:rsidR="003436C3" w:rsidRPr="009C0724" w:rsidRDefault="003436C3" w:rsidP="003436C3">
                  <w:pPr>
                    <w:pStyle w:val="af1"/>
                    <w:ind w:firstLine="425"/>
                    <w:rPr>
                      <w:sz w:val="22"/>
                      <w:szCs w:val="22"/>
                      <w:lang w:val="ru-RU"/>
                    </w:rPr>
                  </w:pPr>
                </w:p>
              </w:tc>
            </w:tr>
            <w:tr w:rsidR="00E54284" w:rsidRPr="006A2E29" w:rsidTr="00C66F55">
              <w:trPr>
                <w:trHeight w:val="550"/>
                <w:jc w:val="center"/>
              </w:trPr>
              <w:tc>
                <w:tcPr>
                  <w:tcW w:w="1858" w:type="pct"/>
                </w:tcPr>
                <w:p w:rsidR="00E54284" w:rsidRPr="006A2E29" w:rsidRDefault="00A73A0B" w:rsidP="003436C3">
                  <w:pPr>
                    <w:pStyle w:val="af1"/>
                    <w:rPr>
                      <w:sz w:val="22"/>
                      <w:szCs w:val="22"/>
                      <w:lang w:val="ru-RU"/>
                    </w:rPr>
                  </w:pPr>
                  <w:r>
                    <w:rPr>
                      <w:sz w:val="22"/>
                      <w:szCs w:val="22"/>
                      <w:lang w:val="ru-RU"/>
                    </w:rPr>
                    <w:t>Буров</w:t>
                  </w:r>
                  <w:r w:rsidR="00E54284">
                    <w:rPr>
                      <w:sz w:val="22"/>
                      <w:szCs w:val="22"/>
                      <w:lang w:val="ru-RU"/>
                    </w:rPr>
                    <w:t>зрывные работы</w:t>
                  </w:r>
                  <w:r w:rsidR="00E54284" w:rsidRPr="006A2E29">
                    <w:rPr>
                      <w:sz w:val="22"/>
                      <w:szCs w:val="22"/>
                      <w:lang w:val="ru-RU"/>
                    </w:rPr>
                    <w:t>, тыс. м</w:t>
                  </w:r>
                  <w:r w:rsidR="00E54284" w:rsidRPr="006A2E29">
                    <w:rPr>
                      <w:sz w:val="22"/>
                      <w:szCs w:val="22"/>
                      <w:vertAlign w:val="superscript"/>
                      <w:lang w:val="ru-RU"/>
                    </w:rPr>
                    <w:t>3</w:t>
                  </w:r>
                </w:p>
              </w:tc>
              <w:tc>
                <w:tcPr>
                  <w:tcW w:w="608" w:type="pct"/>
                  <w:vAlign w:val="center"/>
                </w:tcPr>
                <w:p w:rsidR="00E54284" w:rsidRPr="0067137F" w:rsidRDefault="003D63F4" w:rsidP="0067137F">
                  <w:pPr>
                    <w:spacing w:after="0" w:line="240" w:lineRule="auto"/>
                    <w:rPr>
                      <w:rFonts w:ascii="Times New Roman" w:hAnsi="Times New Roman" w:cs="Times New Roman"/>
                      <w:bCs/>
                    </w:rPr>
                  </w:pPr>
                  <w:r>
                    <w:rPr>
                      <w:rFonts w:ascii="Times New Roman" w:hAnsi="Times New Roman" w:cs="Times New Roman"/>
                      <w:bCs/>
                    </w:rPr>
                    <w:t>63,0</w:t>
                  </w:r>
                </w:p>
              </w:tc>
              <w:tc>
                <w:tcPr>
                  <w:tcW w:w="608" w:type="pct"/>
                  <w:vAlign w:val="center"/>
                </w:tcPr>
                <w:p w:rsidR="00E54284" w:rsidRPr="0067137F" w:rsidRDefault="003D63F4" w:rsidP="0067137F">
                  <w:pPr>
                    <w:spacing w:after="0" w:line="240" w:lineRule="auto"/>
                    <w:jc w:val="both"/>
                    <w:rPr>
                      <w:rFonts w:ascii="Times New Roman" w:hAnsi="Times New Roman" w:cs="Times New Roman"/>
                      <w:bCs/>
                    </w:rPr>
                  </w:pPr>
                  <w:r>
                    <w:rPr>
                      <w:rFonts w:ascii="Times New Roman" w:hAnsi="Times New Roman" w:cs="Times New Roman"/>
                      <w:bCs/>
                    </w:rPr>
                    <w:t>103,0</w:t>
                  </w:r>
                </w:p>
              </w:tc>
              <w:tc>
                <w:tcPr>
                  <w:tcW w:w="637" w:type="pct"/>
                  <w:vAlign w:val="center"/>
                </w:tcPr>
                <w:p w:rsidR="00E54284" w:rsidRPr="0067137F" w:rsidRDefault="003D63F4" w:rsidP="0067137F">
                  <w:pPr>
                    <w:spacing w:after="0" w:line="240" w:lineRule="auto"/>
                    <w:jc w:val="both"/>
                    <w:rPr>
                      <w:rFonts w:ascii="Times New Roman" w:hAnsi="Times New Roman" w:cs="Times New Roman"/>
                      <w:bCs/>
                    </w:rPr>
                  </w:pPr>
                  <w:r>
                    <w:rPr>
                      <w:rFonts w:ascii="Times New Roman" w:hAnsi="Times New Roman" w:cs="Times New Roman"/>
                      <w:bCs/>
                    </w:rPr>
                    <w:t>96,0</w:t>
                  </w:r>
                </w:p>
              </w:tc>
              <w:tc>
                <w:tcPr>
                  <w:tcW w:w="608" w:type="pct"/>
                  <w:vAlign w:val="center"/>
                </w:tcPr>
                <w:p w:rsidR="00E54284" w:rsidRPr="0067137F" w:rsidRDefault="003D63F4" w:rsidP="0067137F">
                  <w:pPr>
                    <w:spacing w:after="0" w:line="240" w:lineRule="auto"/>
                    <w:jc w:val="both"/>
                    <w:rPr>
                      <w:rFonts w:ascii="Times New Roman" w:hAnsi="Times New Roman" w:cs="Times New Roman"/>
                      <w:bCs/>
                    </w:rPr>
                  </w:pPr>
                  <w:r>
                    <w:rPr>
                      <w:rFonts w:ascii="Times New Roman" w:hAnsi="Times New Roman" w:cs="Times New Roman"/>
                      <w:bCs/>
                    </w:rPr>
                    <w:t>81,0</w:t>
                  </w:r>
                </w:p>
              </w:tc>
              <w:tc>
                <w:tcPr>
                  <w:tcW w:w="680" w:type="pct"/>
                  <w:vAlign w:val="center"/>
                </w:tcPr>
                <w:p w:rsidR="00E54284" w:rsidRPr="0067137F" w:rsidRDefault="003D63F4" w:rsidP="0067137F">
                  <w:pPr>
                    <w:spacing w:after="0" w:line="240" w:lineRule="auto"/>
                    <w:jc w:val="both"/>
                    <w:rPr>
                      <w:rFonts w:ascii="Times New Roman" w:hAnsi="Times New Roman" w:cs="Times New Roman"/>
                      <w:bCs/>
                    </w:rPr>
                  </w:pPr>
                  <w:r>
                    <w:rPr>
                      <w:rFonts w:ascii="Times New Roman" w:hAnsi="Times New Roman" w:cs="Times New Roman"/>
                      <w:bCs/>
                    </w:rPr>
                    <w:t>343,0</w:t>
                  </w:r>
                </w:p>
              </w:tc>
            </w:tr>
          </w:tbl>
          <w:p w:rsidR="003436C3" w:rsidRPr="009C0724" w:rsidRDefault="00C66F55" w:rsidP="00C66F55">
            <w:pPr>
              <w:spacing w:after="0" w:line="240" w:lineRule="auto"/>
              <w:jc w:val="both"/>
              <w:rPr>
                <w:rFonts w:ascii="Times New Roman" w:hAnsi="Times New Roman" w:cs="Times New Roman"/>
              </w:rPr>
            </w:pPr>
            <w:r w:rsidRPr="006A2E29">
              <w:rPr>
                <w:rFonts w:ascii="Times New Roman" w:hAnsi="Times New Roman" w:cs="Times New Roman"/>
              </w:rPr>
              <w:t xml:space="preserve">*-объемы могут перераспределяться по месяцам. Итоговый объем может изменяться в пределах </w:t>
            </w:r>
            <w:r w:rsidR="00A73A0B">
              <w:rPr>
                <w:rFonts w:ascii="Times New Roman" w:hAnsi="Times New Roman" w:cs="Times New Roman"/>
              </w:rPr>
              <w:t>2</w:t>
            </w:r>
            <w:bookmarkStart w:id="1" w:name="_GoBack"/>
            <w:bookmarkEnd w:id="1"/>
            <w:r w:rsidRPr="006A2E29">
              <w:rPr>
                <w:rFonts w:ascii="Times New Roman" w:hAnsi="Times New Roman" w:cs="Times New Roman"/>
              </w:rPr>
              <w:t>0 % от планового в обе стороны.</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tcPr>
          <w:p w:rsidR="003436C3" w:rsidRPr="009C0724" w:rsidRDefault="003436C3" w:rsidP="003436C3">
            <w:pPr>
              <w:tabs>
                <w:tab w:val="num" w:pos="840"/>
              </w:tabs>
              <w:spacing w:after="0" w:line="240" w:lineRule="auto"/>
              <w:jc w:val="both"/>
              <w:rPr>
                <w:rFonts w:ascii="Times New Roman" w:hAnsi="Times New Roman" w:cs="Times New Roman"/>
              </w:rPr>
            </w:pPr>
            <w:r w:rsidRPr="009C0724">
              <w:rPr>
                <w:rFonts w:ascii="Times New Roman" w:hAnsi="Times New Roman" w:cs="Times New Roman"/>
              </w:rPr>
              <w:t>Сроки (периоды) выполнения работ</w:t>
            </w:r>
          </w:p>
        </w:tc>
        <w:tc>
          <w:tcPr>
            <w:tcW w:w="6589" w:type="dxa"/>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С даты подписания договора по</w:t>
            </w:r>
            <w:r w:rsidR="009C0724">
              <w:rPr>
                <w:rFonts w:ascii="Times New Roman" w:hAnsi="Times New Roman" w:cs="Times New Roman"/>
              </w:rPr>
              <w:t xml:space="preserve"> 31.12.202</w:t>
            </w:r>
            <w:r w:rsidR="00E031DF">
              <w:rPr>
                <w:rFonts w:ascii="Times New Roman" w:hAnsi="Times New Roman" w:cs="Times New Roman"/>
              </w:rPr>
              <w:t>5</w:t>
            </w:r>
            <w:r w:rsidRPr="009C0724">
              <w:rPr>
                <w:rFonts w:ascii="Times New Roman" w:hAnsi="Times New Roman" w:cs="Times New Roman"/>
              </w:rPr>
              <w:t xml:space="preserve"> г.</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 xml:space="preserve">Требования к режиму работы </w:t>
            </w:r>
          </w:p>
        </w:tc>
        <w:tc>
          <w:tcPr>
            <w:tcW w:w="6589" w:type="dxa"/>
            <w:hideMark/>
          </w:tcPr>
          <w:p w:rsidR="003436C3" w:rsidRPr="006A2E29" w:rsidRDefault="003436C3" w:rsidP="003436C3">
            <w:pPr>
              <w:spacing w:after="0" w:line="240" w:lineRule="auto"/>
              <w:rPr>
                <w:rFonts w:ascii="Times New Roman" w:hAnsi="Times New Roman" w:cs="Times New Roman"/>
              </w:rPr>
            </w:pPr>
            <w:r w:rsidRPr="006A2E29">
              <w:rPr>
                <w:rFonts w:ascii="Times New Roman" w:hAnsi="Times New Roman" w:cs="Times New Roman"/>
              </w:rPr>
              <w:t xml:space="preserve">Буровые работы – </w:t>
            </w:r>
            <w:r w:rsidR="00A62D19" w:rsidRPr="006A2E29">
              <w:rPr>
                <w:rFonts w:ascii="Times New Roman" w:hAnsi="Times New Roman" w:cs="Times New Roman"/>
              </w:rPr>
              <w:t>количество смен в сутки – 1, продолжительность смены – 12 часов</w:t>
            </w:r>
            <w:r w:rsidRPr="006A2E29">
              <w:rPr>
                <w:rFonts w:ascii="Times New Roman" w:hAnsi="Times New Roman" w:cs="Times New Roman"/>
              </w:rPr>
              <w:t>.</w:t>
            </w:r>
          </w:p>
          <w:p w:rsidR="003436C3" w:rsidRPr="009C0724" w:rsidRDefault="009C0724" w:rsidP="003436C3">
            <w:pPr>
              <w:spacing w:after="0" w:line="240" w:lineRule="auto"/>
              <w:rPr>
                <w:rFonts w:ascii="Times New Roman" w:hAnsi="Times New Roman" w:cs="Times New Roman"/>
              </w:rPr>
            </w:pPr>
            <w:r w:rsidRPr="006A2E29">
              <w:rPr>
                <w:rFonts w:ascii="Times New Roman" w:hAnsi="Times New Roman" w:cs="Times New Roman"/>
              </w:rPr>
              <w:t>Взрывные работы – в течени</w:t>
            </w:r>
            <w:r w:rsidR="00DD46D1" w:rsidRPr="006A2E29">
              <w:rPr>
                <w:rFonts w:ascii="Times New Roman" w:hAnsi="Times New Roman" w:cs="Times New Roman"/>
              </w:rPr>
              <w:t>е</w:t>
            </w:r>
            <w:r w:rsidR="003436C3" w:rsidRPr="006A2E29">
              <w:rPr>
                <w:rFonts w:ascii="Times New Roman" w:hAnsi="Times New Roman" w:cs="Times New Roman"/>
              </w:rPr>
              <w:t xml:space="preserve"> недели по потребности обеспечения взорванной (рыхл</w:t>
            </w:r>
            <w:r w:rsidR="00864348" w:rsidRPr="006A2E29">
              <w:rPr>
                <w:rFonts w:ascii="Times New Roman" w:hAnsi="Times New Roman" w:cs="Times New Roman"/>
              </w:rPr>
              <w:t xml:space="preserve">еной) горной массы в период с </w:t>
            </w:r>
            <w:r w:rsidR="000C1A89">
              <w:rPr>
                <w:rFonts w:ascii="Times New Roman" w:hAnsi="Times New Roman" w:cs="Times New Roman"/>
              </w:rPr>
              <w:t>9</w:t>
            </w:r>
            <w:r w:rsidR="007A0DAB" w:rsidRPr="006A2E29">
              <w:rPr>
                <w:rFonts w:ascii="Times New Roman" w:hAnsi="Times New Roman" w:cs="Times New Roman"/>
              </w:rPr>
              <w:t xml:space="preserve"> </w:t>
            </w:r>
            <w:r w:rsidR="00864348" w:rsidRPr="006A2E29">
              <w:rPr>
                <w:rFonts w:ascii="Times New Roman" w:hAnsi="Times New Roman" w:cs="Times New Roman"/>
              </w:rPr>
              <w:t>ч</w:t>
            </w:r>
            <w:r w:rsidR="007A0DAB" w:rsidRPr="006A2E29">
              <w:rPr>
                <w:rFonts w:ascii="Times New Roman" w:hAnsi="Times New Roman" w:cs="Times New Roman"/>
              </w:rPr>
              <w:t xml:space="preserve"> </w:t>
            </w:r>
            <w:r w:rsidR="00864348" w:rsidRPr="006A2E29">
              <w:rPr>
                <w:rFonts w:ascii="Times New Roman" w:hAnsi="Times New Roman" w:cs="Times New Roman"/>
              </w:rPr>
              <w:t>00</w:t>
            </w:r>
            <w:r w:rsidR="007A0DAB" w:rsidRPr="006A2E29">
              <w:rPr>
                <w:rFonts w:ascii="Times New Roman" w:hAnsi="Times New Roman" w:cs="Times New Roman"/>
              </w:rPr>
              <w:t xml:space="preserve"> </w:t>
            </w:r>
            <w:r w:rsidR="00864348" w:rsidRPr="006A2E29">
              <w:rPr>
                <w:rFonts w:ascii="Times New Roman" w:hAnsi="Times New Roman" w:cs="Times New Roman"/>
              </w:rPr>
              <w:t>мин до 1</w:t>
            </w:r>
            <w:r w:rsidR="000C1A89">
              <w:rPr>
                <w:rFonts w:ascii="Times New Roman" w:hAnsi="Times New Roman" w:cs="Times New Roman"/>
              </w:rPr>
              <w:t>8</w:t>
            </w:r>
            <w:r w:rsidR="007A0DAB" w:rsidRPr="006A2E29">
              <w:rPr>
                <w:rFonts w:ascii="Times New Roman" w:hAnsi="Times New Roman" w:cs="Times New Roman"/>
              </w:rPr>
              <w:t xml:space="preserve"> </w:t>
            </w:r>
            <w:r w:rsidR="00864348" w:rsidRPr="006A2E29">
              <w:rPr>
                <w:rFonts w:ascii="Times New Roman" w:hAnsi="Times New Roman" w:cs="Times New Roman"/>
              </w:rPr>
              <w:t xml:space="preserve">ч 00 </w:t>
            </w:r>
            <w:r w:rsidR="003436C3" w:rsidRPr="006A2E29">
              <w:rPr>
                <w:rFonts w:ascii="Times New Roman" w:hAnsi="Times New Roman" w:cs="Times New Roman"/>
              </w:rPr>
              <w:t>мин.</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Требования по объёму гарантий качества</w:t>
            </w:r>
          </w:p>
        </w:tc>
        <w:tc>
          <w:tcPr>
            <w:tcW w:w="6589" w:type="dxa"/>
            <w:hideMark/>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Работы должны быть выполнены с соблюдением технологии производства, а также необходимых противопожарных мероприятий, мероприятий по предупреждению чрезвычайных ситуаций, мероприятий по охране труда и охране окружающей среды.</w:t>
            </w:r>
          </w:p>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Ответственность за охрану труда, пожарную безопасность и безопасность дорожного движения при выполнении работ несёт Подрядчик.</w:t>
            </w:r>
          </w:p>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Качество выполнения работ должно соответствовать Типовому проекту ведения взрывных работ, ПРГР карьера в плане обеспечения соблюдения требований ПБ и ОТ.</w:t>
            </w:r>
          </w:p>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Выход негабарита не должен превышать 3% от общего объема взрываемого блока. Разделка негабарита при выходе свыше 3% осуществляется подрядчиком своими силами и средствами за свой счет.</w:t>
            </w:r>
          </w:p>
          <w:p w:rsidR="00864348" w:rsidRPr="009C0724" w:rsidRDefault="00864348" w:rsidP="00864348">
            <w:pPr>
              <w:spacing w:after="0" w:line="240" w:lineRule="auto"/>
              <w:jc w:val="both"/>
              <w:rPr>
                <w:rFonts w:ascii="Times New Roman" w:hAnsi="Times New Roman" w:cs="Times New Roman"/>
              </w:rPr>
            </w:pPr>
            <w:r w:rsidRPr="009C0724">
              <w:rPr>
                <w:rFonts w:ascii="Times New Roman" w:hAnsi="Times New Roman" w:cs="Times New Roman"/>
              </w:rPr>
              <w:t xml:space="preserve">Размер габаритного куска устанавливается не более </w:t>
            </w:r>
            <w:r w:rsidR="00A62D19" w:rsidRPr="009C0724">
              <w:rPr>
                <w:rFonts w:ascii="Times New Roman" w:hAnsi="Times New Roman" w:cs="Times New Roman"/>
              </w:rPr>
              <w:t>8</w:t>
            </w:r>
            <w:r w:rsidRPr="009C0724">
              <w:rPr>
                <w:rFonts w:ascii="Times New Roman" w:hAnsi="Times New Roman" w:cs="Times New Roman"/>
              </w:rPr>
              <w:t>00 мм в ребре.</w:t>
            </w:r>
          </w:p>
          <w:p w:rsidR="003436C3" w:rsidRPr="009C0724" w:rsidRDefault="003436C3" w:rsidP="00864348">
            <w:pPr>
              <w:spacing w:after="0" w:line="240" w:lineRule="auto"/>
              <w:jc w:val="both"/>
              <w:rPr>
                <w:rFonts w:ascii="Times New Roman" w:hAnsi="Times New Roman" w:cs="Times New Roman"/>
              </w:rPr>
            </w:pPr>
            <w:r w:rsidRPr="009C0724">
              <w:rPr>
                <w:rFonts w:ascii="Times New Roman" w:hAnsi="Times New Roman" w:cs="Times New Roman"/>
              </w:rPr>
              <w:t xml:space="preserve">Образование </w:t>
            </w:r>
            <w:proofErr w:type="spellStart"/>
            <w:r w:rsidRPr="009C0724">
              <w:rPr>
                <w:rFonts w:ascii="Times New Roman" w:hAnsi="Times New Roman" w:cs="Times New Roman"/>
              </w:rPr>
              <w:t>нависей</w:t>
            </w:r>
            <w:proofErr w:type="spellEnd"/>
            <w:r w:rsidRPr="009C0724">
              <w:rPr>
                <w:rFonts w:ascii="Times New Roman" w:hAnsi="Times New Roman" w:cs="Times New Roman"/>
              </w:rPr>
              <w:t xml:space="preserve"> и заколов после проведения БВР не допускается. Ликвидация заколов и </w:t>
            </w:r>
            <w:proofErr w:type="spellStart"/>
            <w:r w:rsidRPr="009C0724">
              <w:rPr>
                <w:rFonts w:ascii="Times New Roman" w:hAnsi="Times New Roman" w:cs="Times New Roman"/>
              </w:rPr>
              <w:t>нависей</w:t>
            </w:r>
            <w:proofErr w:type="spellEnd"/>
            <w:r w:rsidRPr="009C0724">
              <w:rPr>
                <w:rFonts w:ascii="Times New Roman" w:hAnsi="Times New Roman" w:cs="Times New Roman"/>
              </w:rPr>
              <w:t xml:space="preserve"> осуществляется подрядчиком своими силами и средствами за свой счет.</w:t>
            </w:r>
          </w:p>
          <w:p w:rsidR="003436C3" w:rsidRPr="009C0724" w:rsidRDefault="00D71D1C" w:rsidP="009C0724">
            <w:pPr>
              <w:spacing w:after="0" w:line="240" w:lineRule="auto"/>
              <w:jc w:val="both"/>
              <w:rPr>
                <w:rFonts w:ascii="Times New Roman" w:hAnsi="Times New Roman" w:cs="Times New Roman"/>
              </w:rPr>
            </w:pPr>
            <w:r w:rsidRPr="009C0724">
              <w:rPr>
                <w:rFonts w:ascii="Times New Roman" w:hAnsi="Times New Roman" w:cs="Times New Roman"/>
              </w:rPr>
              <w:t>Ликвидация отказавших зарядов осуществляется подрядчиком своими силами и средствами.</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Порядок формирования цены договора</w:t>
            </w:r>
          </w:p>
        </w:tc>
        <w:tc>
          <w:tcPr>
            <w:tcW w:w="6589" w:type="dxa"/>
            <w:hideMark/>
          </w:tcPr>
          <w:p w:rsidR="003436C3"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Стоимость буро</w:t>
            </w:r>
            <w:r w:rsidR="00E83F29">
              <w:rPr>
                <w:rFonts w:ascii="Times New Roman" w:hAnsi="Times New Roman" w:cs="Times New Roman"/>
              </w:rPr>
              <w:t>в</w:t>
            </w:r>
            <w:r w:rsidRPr="009C0724">
              <w:rPr>
                <w:rFonts w:ascii="Times New Roman" w:hAnsi="Times New Roman" w:cs="Times New Roman"/>
              </w:rPr>
              <w:t>зрывных работ (за один кубический метр) должна включать расходы на вы</w:t>
            </w:r>
            <w:r w:rsidR="009C0724">
              <w:rPr>
                <w:rFonts w:ascii="Times New Roman" w:hAnsi="Times New Roman" w:cs="Times New Roman"/>
              </w:rPr>
              <w:t>полнение буров</w:t>
            </w:r>
            <w:r w:rsidR="00E83F29">
              <w:rPr>
                <w:rFonts w:ascii="Times New Roman" w:hAnsi="Times New Roman" w:cs="Times New Roman"/>
              </w:rPr>
              <w:t>ых и в</w:t>
            </w:r>
            <w:r w:rsidR="009C0724">
              <w:rPr>
                <w:rFonts w:ascii="Times New Roman" w:hAnsi="Times New Roman" w:cs="Times New Roman"/>
              </w:rPr>
              <w:t xml:space="preserve">зрывных </w:t>
            </w:r>
            <w:r w:rsidRPr="009C0724">
              <w:rPr>
                <w:rFonts w:ascii="Times New Roman" w:hAnsi="Times New Roman" w:cs="Times New Roman"/>
              </w:rPr>
              <w:t xml:space="preserve"> работ, в т.ч. расходы на приобретение (или изготовление), транспортировку, складирование, хранение, </w:t>
            </w:r>
            <w:proofErr w:type="spellStart"/>
            <w:r w:rsidRPr="009C0724">
              <w:rPr>
                <w:rFonts w:ascii="Times New Roman" w:hAnsi="Times New Roman" w:cs="Times New Roman"/>
              </w:rPr>
              <w:t>госпроверку</w:t>
            </w:r>
            <w:proofErr w:type="spellEnd"/>
            <w:r w:rsidRPr="009C0724">
              <w:rPr>
                <w:rFonts w:ascii="Times New Roman" w:hAnsi="Times New Roman" w:cs="Times New Roman"/>
              </w:rPr>
              <w:t xml:space="preserve"> и сертификацию в органах Ростехнадзора РФ оборудования и материалов необходимых для выполнения работ, охрану взрывчатых веществ, оцепление и обеспечение безопасности взрывных работ, разработку и согласование проекта производства работ, расходы на согласование с Заказчиком, командировочные расходы, иные расходы, уплату сборов, взносов, таможенных пошлин и других платежей, которые являются обязательными в силу закона.</w:t>
            </w:r>
          </w:p>
          <w:p w:rsidR="004E2D3B" w:rsidRDefault="005B0157" w:rsidP="003436C3">
            <w:pPr>
              <w:spacing w:after="0" w:line="240" w:lineRule="auto"/>
              <w:ind w:firstLine="176"/>
              <w:jc w:val="both"/>
              <w:rPr>
                <w:rFonts w:ascii="Times New Roman" w:hAnsi="Times New Roman"/>
                <w:sz w:val="24"/>
                <w:szCs w:val="24"/>
              </w:rPr>
            </w:pPr>
            <w:r>
              <w:rPr>
                <w:rFonts w:ascii="Times New Roman" w:hAnsi="Times New Roman" w:cs="Times New Roman"/>
              </w:rPr>
              <w:t xml:space="preserve">Расчет </w:t>
            </w:r>
            <w:r w:rsidRPr="0095784F">
              <w:rPr>
                <w:rFonts w:ascii="Times New Roman" w:hAnsi="Times New Roman"/>
                <w:sz w:val="24"/>
                <w:szCs w:val="24"/>
              </w:rPr>
              <w:t>стоимости взрывных работ</w:t>
            </w:r>
            <w:r>
              <w:rPr>
                <w:rFonts w:ascii="Times New Roman" w:hAnsi="Times New Roman"/>
                <w:sz w:val="24"/>
                <w:szCs w:val="24"/>
              </w:rPr>
              <w:t xml:space="preserve"> производится в зависимости </w:t>
            </w:r>
            <w:r w:rsidRPr="0095784F">
              <w:rPr>
                <w:rFonts w:ascii="Times New Roman" w:hAnsi="Times New Roman"/>
                <w:sz w:val="24"/>
                <w:szCs w:val="24"/>
              </w:rPr>
              <w:t>от индикативов цен на аммиачную селитру по формуле</w:t>
            </w:r>
          </w:p>
          <w:p w:rsidR="005B0157" w:rsidRPr="005B0157" w:rsidRDefault="005B0157" w:rsidP="005B0157">
            <w:pPr>
              <w:tabs>
                <w:tab w:val="left" w:pos="426"/>
              </w:tabs>
              <w:spacing w:before="120" w:after="0" w:line="240" w:lineRule="auto"/>
              <w:jc w:val="both"/>
              <w:rPr>
                <w:rFonts w:ascii="Times New Roman" w:hAnsi="Times New Roman" w:cs="Times New Roman"/>
              </w:rPr>
            </w:pPr>
            <w:proofErr w:type="spellStart"/>
            <w:r w:rsidRPr="005B0157">
              <w:rPr>
                <w:rFonts w:ascii="Times New Roman" w:hAnsi="Times New Roman" w:cs="Times New Roman"/>
                <w:b/>
              </w:rPr>
              <w:t>ЦврТ</w:t>
            </w:r>
            <w:proofErr w:type="spellEnd"/>
            <w:r w:rsidRPr="005B0157">
              <w:rPr>
                <w:rFonts w:ascii="Times New Roman" w:hAnsi="Times New Roman" w:cs="Times New Roman"/>
                <w:b/>
              </w:rPr>
              <w:t xml:space="preserve"> =</w:t>
            </w:r>
            <w:proofErr w:type="spellStart"/>
            <w:r w:rsidRPr="005B0157">
              <w:rPr>
                <w:rFonts w:ascii="Times New Roman" w:hAnsi="Times New Roman" w:cs="Times New Roman"/>
                <w:b/>
              </w:rPr>
              <w:t>ЦсТек+ПЗ</w:t>
            </w:r>
            <w:proofErr w:type="spellEnd"/>
            <w:r w:rsidRPr="005B0157">
              <w:rPr>
                <w:rFonts w:ascii="Times New Roman" w:hAnsi="Times New Roman" w:cs="Times New Roman"/>
              </w:rPr>
              <w:t>, где</w:t>
            </w:r>
          </w:p>
          <w:p w:rsidR="005B0157" w:rsidRPr="005B0157" w:rsidRDefault="005B0157" w:rsidP="005B0157">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t>Текущая стоимость взрывных работ (</w:t>
            </w:r>
            <w:proofErr w:type="spellStart"/>
            <w:r w:rsidRPr="005B0157">
              <w:rPr>
                <w:rFonts w:ascii="Times New Roman" w:hAnsi="Times New Roman" w:cs="Times New Roman"/>
                <w:b/>
              </w:rPr>
              <w:t>ЦврТ</w:t>
            </w:r>
            <w:proofErr w:type="spellEnd"/>
            <w:r w:rsidRPr="005B0157">
              <w:rPr>
                <w:rFonts w:ascii="Times New Roman" w:hAnsi="Times New Roman" w:cs="Times New Roman"/>
              </w:rPr>
              <w:t>) = Текущая цена селитры в ЭВВ (</w:t>
            </w:r>
            <w:proofErr w:type="spellStart"/>
            <w:r w:rsidRPr="005B0157">
              <w:rPr>
                <w:rFonts w:ascii="Times New Roman" w:hAnsi="Times New Roman" w:cs="Times New Roman"/>
                <w:b/>
              </w:rPr>
              <w:t>ЦсТек</w:t>
            </w:r>
            <w:proofErr w:type="spellEnd"/>
            <w:r w:rsidRPr="005B0157">
              <w:rPr>
                <w:rFonts w:ascii="Times New Roman" w:hAnsi="Times New Roman" w:cs="Times New Roman"/>
              </w:rPr>
              <w:t>) + Прочие затраты на ВР (</w:t>
            </w:r>
            <w:r w:rsidRPr="005B0157">
              <w:rPr>
                <w:rFonts w:ascii="Times New Roman" w:hAnsi="Times New Roman" w:cs="Times New Roman"/>
                <w:b/>
              </w:rPr>
              <w:t>ПЗ</w:t>
            </w:r>
            <w:r w:rsidRPr="005B0157">
              <w:rPr>
                <w:rFonts w:ascii="Times New Roman" w:hAnsi="Times New Roman" w:cs="Times New Roman"/>
              </w:rPr>
              <w:t xml:space="preserve">) </w:t>
            </w:r>
          </w:p>
          <w:p w:rsidR="005B0157" w:rsidRPr="005B0157" w:rsidRDefault="005B0157" w:rsidP="005B0157">
            <w:pPr>
              <w:tabs>
                <w:tab w:val="left" w:pos="426"/>
              </w:tabs>
              <w:spacing w:before="120" w:after="0" w:line="240" w:lineRule="auto"/>
              <w:jc w:val="both"/>
              <w:rPr>
                <w:rFonts w:ascii="Times New Roman" w:hAnsi="Times New Roman" w:cs="Times New Roman"/>
              </w:rPr>
            </w:pPr>
            <w:proofErr w:type="spellStart"/>
            <w:r w:rsidRPr="005B0157">
              <w:rPr>
                <w:rFonts w:ascii="Times New Roman" w:hAnsi="Times New Roman" w:cs="Times New Roman"/>
                <w:b/>
              </w:rPr>
              <w:t>ЦсТек</w:t>
            </w:r>
            <w:proofErr w:type="spellEnd"/>
            <w:r w:rsidRPr="005B0157">
              <w:rPr>
                <w:rFonts w:ascii="Times New Roman" w:hAnsi="Times New Roman" w:cs="Times New Roman"/>
                <w:b/>
              </w:rPr>
              <w:t>=</w:t>
            </w:r>
            <w:proofErr w:type="spellStart"/>
            <w:r w:rsidRPr="005B0157">
              <w:rPr>
                <w:rFonts w:ascii="Times New Roman" w:hAnsi="Times New Roman" w:cs="Times New Roman"/>
                <w:b/>
              </w:rPr>
              <w:t>Цсб</w:t>
            </w:r>
            <w:proofErr w:type="spellEnd"/>
            <w:r w:rsidRPr="005B0157">
              <w:rPr>
                <w:rFonts w:ascii="Times New Roman" w:hAnsi="Times New Roman" w:cs="Times New Roman"/>
                <w:b/>
              </w:rPr>
              <w:t>*К-т(ас)*%С*РС</w:t>
            </w:r>
            <w:r w:rsidRPr="005B0157">
              <w:rPr>
                <w:rFonts w:ascii="Times New Roman" w:hAnsi="Times New Roman" w:cs="Times New Roman"/>
              </w:rPr>
              <w:t>, где</w:t>
            </w:r>
          </w:p>
          <w:p w:rsidR="005B0157" w:rsidRPr="005B0157" w:rsidRDefault="005B0157" w:rsidP="005B0157">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lastRenderedPageBreak/>
              <w:t>Текущая цена селитры в ЭВВ (</w:t>
            </w:r>
            <w:proofErr w:type="spellStart"/>
            <w:r w:rsidRPr="005B0157">
              <w:rPr>
                <w:rFonts w:ascii="Times New Roman" w:hAnsi="Times New Roman" w:cs="Times New Roman"/>
                <w:b/>
              </w:rPr>
              <w:t>ЦсТек</w:t>
            </w:r>
            <w:proofErr w:type="spellEnd"/>
            <w:r w:rsidRPr="005B0157">
              <w:rPr>
                <w:rFonts w:ascii="Times New Roman" w:hAnsi="Times New Roman" w:cs="Times New Roman"/>
              </w:rPr>
              <w:t>) = Цена селитры по состоянию на янв.2</w:t>
            </w:r>
            <w:r w:rsidR="000C1A89">
              <w:rPr>
                <w:rFonts w:ascii="Times New Roman" w:hAnsi="Times New Roman" w:cs="Times New Roman"/>
              </w:rPr>
              <w:t>4</w:t>
            </w:r>
            <w:r w:rsidRPr="005B0157">
              <w:rPr>
                <w:rFonts w:ascii="Times New Roman" w:hAnsi="Times New Roman" w:cs="Times New Roman"/>
              </w:rPr>
              <w:t xml:space="preserve"> (</w:t>
            </w:r>
            <w:proofErr w:type="spellStart"/>
            <w:r w:rsidRPr="005B0157">
              <w:rPr>
                <w:rFonts w:ascii="Times New Roman" w:hAnsi="Times New Roman" w:cs="Times New Roman"/>
                <w:b/>
              </w:rPr>
              <w:t>Цсб</w:t>
            </w:r>
            <w:proofErr w:type="spellEnd"/>
            <w:r w:rsidRPr="005B0157">
              <w:rPr>
                <w:rFonts w:ascii="Times New Roman" w:hAnsi="Times New Roman" w:cs="Times New Roman"/>
              </w:rPr>
              <w:t>)*Коэффициент изменения стоимости селитры (</w:t>
            </w:r>
            <w:r w:rsidRPr="005B0157">
              <w:rPr>
                <w:rFonts w:ascii="Times New Roman" w:hAnsi="Times New Roman" w:cs="Times New Roman"/>
                <w:b/>
              </w:rPr>
              <w:t>К-т(ас)</w:t>
            </w:r>
            <w:r w:rsidRPr="005B0157">
              <w:rPr>
                <w:rFonts w:ascii="Times New Roman" w:hAnsi="Times New Roman" w:cs="Times New Roman"/>
              </w:rPr>
              <w:t xml:space="preserve"> * Доля селитры в ЭВВ </w:t>
            </w:r>
            <w:r w:rsidRPr="005B0157">
              <w:rPr>
                <w:rFonts w:ascii="Times New Roman" w:hAnsi="Times New Roman" w:cs="Times New Roman"/>
                <w:b/>
              </w:rPr>
              <w:t>(%</w:t>
            </w:r>
            <w:proofErr w:type="gramStart"/>
            <w:r w:rsidRPr="005B0157">
              <w:rPr>
                <w:rFonts w:ascii="Times New Roman" w:hAnsi="Times New Roman" w:cs="Times New Roman"/>
                <w:b/>
              </w:rPr>
              <w:t>С</w:t>
            </w:r>
            <w:r w:rsidRPr="005B0157">
              <w:rPr>
                <w:rFonts w:ascii="Times New Roman" w:hAnsi="Times New Roman" w:cs="Times New Roman"/>
              </w:rPr>
              <w:t>)*</w:t>
            </w:r>
            <w:proofErr w:type="gramEnd"/>
            <w:r w:rsidRPr="005B0157">
              <w:rPr>
                <w:rFonts w:ascii="Times New Roman" w:hAnsi="Times New Roman" w:cs="Times New Roman"/>
              </w:rPr>
              <w:t xml:space="preserve"> Удельный  расход ВВ согласно проекта ВР (</w:t>
            </w:r>
            <w:r w:rsidRPr="005B0157">
              <w:rPr>
                <w:rFonts w:ascii="Times New Roman" w:hAnsi="Times New Roman" w:cs="Times New Roman"/>
                <w:b/>
              </w:rPr>
              <w:t>РС</w:t>
            </w:r>
            <w:r w:rsidRPr="005B0157">
              <w:rPr>
                <w:rFonts w:ascii="Times New Roman" w:hAnsi="Times New Roman" w:cs="Times New Roman"/>
              </w:rPr>
              <w:t>)</w:t>
            </w:r>
          </w:p>
          <w:p w:rsidR="005B0157" w:rsidRDefault="005B0157" w:rsidP="005B0157">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t xml:space="preserve">Коэффициент изменения стоимости селитры К-т(ас) определяется как соотношение - Цена селитры на базисе ФОБ Черное Море в предыдущем месяца от расчетного к Цене селитры </w:t>
            </w:r>
            <w:r>
              <w:rPr>
                <w:rFonts w:ascii="Times New Roman" w:hAnsi="Times New Roman" w:cs="Times New Roman"/>
              </w:rPr>
              <w:t>на базисе ФОБ Черное Море янв.23</w:t>
            </w:r>
            <w:r w:rsidRPr="005B0157">
              <w:rPr>
                <w:rFonts w:ascii="Times New Roman" w:hAnsi="Times New Roman" w:cs="Times New Roman"/>
              </w:rPr>
              <w:t xml:space="preserve"> и может принимать значения от 0,5 до 1,3.</w:t>
            </w:r>
          </w:p>
          <w:p w:rsidR="00E26B6C" w:rsidRDefault="005B0157" w:rsidP="00E26B6C">
            <w:pPr>
              <w:pStyle w:val="a8"/>
              <w:jc w:val="both"/>
              <w:rPr>
                <w:rFonts w:ascii="Times New Roman" w:eastAsiaTheme="minorHAnsi" w:hAnsi="Times New Roman"/>
                <w:snapToGrid/>
                <w:sz w:val="22"/>
                <w:szCs w:val="22"/>
                <w:lang w:eastAsia="en-US"/>
              </w:rPr>
            </w:pPr>
            <w:r w:rsidRPr="005B0157">
              <w:rPr>
                <w:rFonts w:ascii="Times New Roman" w:eastAsiaTheme="minorHAnsi" w:hAnsi="Times New Roman"/>
                <w:snapToGrid/>
                <w:sz w:val="22"/>
                <w:szCs w:val="22"/>
                <w:lang w:eastAsia="en-US"/>
              </w:rPr>
              <w:t>Цена селитры на базисе ФОБ Черное Море доводится Заказчиком до Подрядчика до 10</w:t>
            </w:r>
            <w:r>
              <w:rPr>
                <w:rFonts w:ascii="Times New Roman" w:eastAsiaTheme="minorHAnsi" w:hAnsi="Times New Roman"/>
                <w:snapToGrid/>
                <w:sz w:val="22"/>
                <w:szCs w:val="22"/>
                <w:lang w:eastAsia="en-US"/>
              </w:rPr>
              <w:t>-</w:t>
            </w:r>
            <w:r w:rsidRPr="005B0157">
              <w:rPr>
                <w:rFonts w:ascii="Times New Roman" w:eastAsiaTheme="minorHAnsi" w:hAnsi="Times New Roman"/>
                <w:snapToGrid/>
                <w:sz w:val="22"/>
                <w:szCs w:val="22"/>
                <w:lang w:eastAsia="en-US"/>
              </w:rPr>
              <w:t xml:space="preserve">го числа каждого календарного месяца по данным </w:t>
            </w:r>
            <w:hyperlink r:id="rId8" w:history="1">
              <w:r w:rsidRPr="005B0157">
                <w:rPr>
                  <w:rFonts w:ascii="Times New Roman" w:eastAsiaTheme="minorHAnsi" w:hAnsi="Times New Roman"/>
                  <w:snapToGrid/>
                  <w:sz w:val="22"/>
                  <w:szCs w:val="22"/>
                  <w:lang w:eastAsia="en-US"/>
                </w:rPr>
                <w:t>https://www.argusmedia.com/</w:t>
              </w:r>
            </w:hyperlink>
            <w:r w:rsidRPr="005B0157">
              <w:rPr>
                <w:rFonts w:ascii="Times New Roman" w:eastAsiaTheme="minorHAnsi" w:hAnsi="Times New Roman"/>
                <w:snapToGrid/>
                <w:sz w:val="22"/>
                <w:szCs w:val="22"/>
                <w:lang w:eastAsia="en-US"/>
              </w:rPr>
              <w:t xml:space="preserve"> по состоянию на первую неделю месяца в зависимости от наличия указанных данных.</w:t>
            </w:r>
          </w:p>
          <w:p w:rsidR="00E26B6C" w:rsidRDefault="005B0157" w:rsidP="00E26B6C">
            <w:pPr>
              <w:pStyle w:val="a8"/>
              <w:jc w:val="both"/>
              <w:rPr>
                <w:rFonts w:ascii="Times New Roman" w:hAnsi="Times New Roman"/>
                <w:sz w:val="22"/>
                <w:szCs w:val="22"/>
              </w:rPr>
            </w:pPr>
            <w:r w:rsidRPr="005B0157">
              <w:rPr>
                <w:rFonts w:ascii="Times New Roman" w:hAnsi="Times New Roman"/>
                <w:sz w:val="22"/>
                <w:szCs w:val="22"/>
              </w:rPr>
              <w:t>В случае, если изменения коэффициента выходят за границы установленных значений, цена подлежит дополнительному согласованию.</w:t>
            </w:r>
          </w:p>
          <w:p w:rsidR="005B0157" w:rsidRPr="005B0157" w:rsidRDefault="005B0157" w:rsidP="00E26B6C">
            <w:pPr>
              <w:pStyle w:val="a8"/>
              <w:jc w:val="both"/>
              <w:rPr>
                <w:rFonts w:ascii="Times New Roman" w:hAnsi="Times New Roman"/>
                <w:sz w:val="22"/>
                <w:szCs w:val="22"/>
              </w:rPr>
            </w:pPr>
            <w:r w:rsidRPr="005B0157">
              <w:rPr>
                <w:rFonts w:ascii="Times New Roman" w:hAnsi="Times New Roman"/>
                <w:sz w:val="22"/>
                <w:szCs w:val="22"/>
              </w:rPr>
              <w:t>Прочие затраты на БВР</w:t>
            </w:r>
            <w:r>
              <w:rPr>
                <w:rFonts w:ascii="Times New Roman" w:hAnsi="Times New Roman"/>
              </w:rPr>
              <w:t xml:space="preserve"> включают в себя </w:t>
            </w:r>
            <w:r w:rsidRPr="005B0157">
              <w:rPr>
                <w:rFonts w:ascii="Times New Roman" w:hAnsi="Times New Roman"/>
                <w:sz w:val="22"/>
                <w:szCs w:val="22"/>
              </w:rPr>
              <w:t xml:space="preserve"> ФОТ, выплаты по ФОТ и накладные, амортизацию, ГСМ хозяйственного характера, средства инициирования и промежуточные детонато</w:t>
            </w:r>
            <w:r w:rsidR="00E26B6C" w:rsidRPr="007E00C8">
              <w:rPr>
                <w:rFonts w:ascii="Times New Roman" w:hAnsi="Times New Roman"/>
                <w:sz w:val="22"/>
                <w:szCs w:val="22"/>
              </w:rPr>
              <w:t>ры, логистика на данные затраты.</w:t>
            </w:r>
          </w:p>
          <w:p w:rsidR="00425389" w:rsidRPr="009C0724" w:rsidRDefault="00425389" w:rsidP="00425389">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за свой счёт организовывает перевозку техники до объекта Заказчика. Затраты, связанные с поставкой техники для оказания услуг, перевозкой рабочих и служащих к месту работы и обратно, предоставление временного жилья и питания, командировок рабочих и служащих относятся к затратам Подрядчика.</w:t>
            </w:r>
          </w:p>
          <w:p w:rsidR="00425389" w:rsidRPr="009C0724" w:rsidRDefault="00425389" w:rsidP="003436C3">
            <w:pPr>
              <w:spacing w:after="0" w:line="240" w:lineRule="auto"/>
              <w:ind w:firstLine="176"/>
              <w:jc w:val="both"/>
              <w:rPr>
                <w:rFonts w:ascii="Times New Roman" w:hAnsi="Times New Roman" w:cs="Times New Roman"/>
              </w:rPr>
            </w:pPr>
            <w:r w:rsidRPr="00E26B6C">
              <w:rPr>
                <w:rFonts w:ascii="Times New Roman" w:hAnsi="Times New Roman" w:cs="Times New Roman"/>
              </w:rPr>
              <w:t>Стоимость предложения должна включать в себя компенсацию всех расходов и издержек</w:t>
            </w:r>
            <w:r w:rsidRPr="009C0724">
              <w:rPr>
                <w:rFonts w:ascii="Times New Roman" w:eastAsia="Times New Roman" w:hAnsi="Times New Roman" w:cs="Times New Roman"/>
              </w:rPr>
              <w:t xml:space="preserve"> Подрядчика, которые он понёс или может понести в процессе оказания услуг, а так же причитающееся ему вознаграждение.</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Общие требования к выполнению работ</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принимает на себя обязательства по обеспечению оборудованием и техникой, необходимым для выполнения работ.</w:t>
            </w:r>
          </w:p>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 выполнение комплекса услуг по буров</w:t>
            </w:r>
            <w:r w:rsidR="00E83F29">
              <w:rPr>
                <w:rFonts w:ascii="Times New Roman" w:hAnsi="Times New Roman" w:cs="Times New Roman"/>
              </w:rPr>
              <w:t>ым и в</w:t>
            </w:r>
            <w:r w:rsidRPr="009C0724">
              <w:rPr>
                <w:rFonts w:ascii="Times New Roman" w:hAnsi="Times New Roman" w:cs="Times New Roman"/>
              </w:rPr>
              <w:t xml:space="preserve">зрывным работам в карьере предприятия, а именно: - выполнение буровых работ на взрываемом блоке, </w:t>
            </w:r>
            <w:r w:rsidR="00E031DF">
              <w:rPr>
                <w:rFonts w:ascii="Times New Roman" w:hAnsi="Times New Roman" w:cs="Times New Roman"/>
              </w:rPr>
              <w:t xml:space="preserve">включая при необходимости самостоятельную заправку ДТ собственного оборудования, </w:t>
            </w:r>
            <w:r w:rsidRPr="009C0724">
              <w:rPr>
                <w:rFonts w:ascii="Times New Roman" w:hAnsi="Times New Roman" w:cs="Times New Roman"/>
              </w:rPr>
              <w:t>доставка и охрана взрывчатого материала и инициирующих веществ на блок, заряжание скважин взрываемого блока, взрывные работы.</w:t>
            </w:r>
          </w:p>
          <w:p w:rsidR="006A2A7E" w:rsidRDefault="003436C3" w:rsidP="006A2A7E">
            <w:pPr>
              <w:pStyle w:val="20"/>
              <w:shd w:val="clear" w:color="auto" w:fill="FFFFFF"/>
              <w:spacing w:before="0" w:beforeAutospacing="0" w:after="0" w:afterAutospacing="0"/>
              <w:textAlignment w:val="baseline"/>
              <w:outlineLvl w:val="1"/>
              <w:rPr>
                <w:b w:val="0"/>
                <w:sz w:val="22"/>
                <w:szCs w:val="22"/>
              </w:rPr>
            </w:pPr>
            <w:r w:rsidRPr="00140104">
              <w:rPr>
                <w:b w:val="0"/>
                <w:sz w:val="22"/>
                <w:szCs w:val="22"/>
              </w:rPr>
              <w:t xml:space="preserve">При производстве работ Подрядчик должен руководствоваться требованиями действующей на территории РФ нормативно-технической документации. Соблюдение требований </w:t>
            </w:r>
            <w:hyperlink r:id="rId9" w:anchor="6520IM" w:history="1">
              <w:r w:rsidR="00140104" w:rsidRPr="006A2A7E">
                <w:rPr>
                  <w:rStyle w:val="af4"/>
                  <w:b w:val="0"/>
                  <w:color w:val="auto"/>
                  <w:sz w:val="22"/>
                  <w:szCs w:val="22"/>
                  <w:u w:val="none"/>
                  <w:shd w:val="clear" w:color="auto" w:fill="FFFFFF"/>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hyperlink>
            <w:r w:rsidR="00140104" w:rsidRPr="006A2A7E">
              <w:rPr>
                <w:b w:val="0"/>
                <w:sz w:val="22"/>
                <w:szCs w:val="22"/>
                <w:shd w:val="clear" w:color="auto" w:fill="FFFFFF"/>
              </w:rPr>
              <w:t xml:space="preserve">, утвержденных приказом </w:t>
            </w:r>
            <w:r w:rsidRPr="006A2A7E">
              <w:rPr>
                <w:b w:val="0"/>
                <w:sz w:val="22"/>
                <w:szCs w:val="22"/>
              </w:rPr>
              <w:t xml:space="preserve"> </w:t>
            </w:r>
            <w:r w:rsidR="00140104" w:rsidRPr="006A2A7E">
              <w:rPr>
                <w:b w:val="0"/>
                <w:sz w:val="22"/>
                <w:szCs w:val="22"/>
              </w:rPr>
              <w:t>Федеральной службы</w:t>
            </w:r>
            <w:r w:rsidR="006A2A7E" w:rsidRPr="006A2A7E">
              <w:rPr>
                <w:b w:val="0"/>
                <w:sz w:val="22"/>
                <w:szCs w:val="22"/>
              </w:rPr>
              <w:t xml:space="preserve">  </w:t>
            </w:r>
            <w:r w:rsidR="00140104" w:rsidRPr="006A2A7E">
              <w:rPr>
                <w:b w:val="0"/>
                <w:sz w:val="22"/>
                <w:szCs w:val="22"/>
              </w:rPr>
              <w:t xml:space="preserve">по экологическому, технологическому и атомному </w:t>
            </w:r>
            <w:r w:rsidR="006A2A7E" w:rsidRPr="006A2A7E">
              <w:rPr>
                <w:b w:val="0"/>
                <w:sz w:val="22"/>
                <w:szCs w:val="22"/>
              </w:rPr>
              <w:t>н</w:t>
            </w:r>
            <w:r w:rsidR="00140104" w:rsidRPr="006A2A7E">
              <w:rPr>
                <w:b w:val="0"/>
                <w:sz w:val="22"/>
                <w:szCs w:val="22"/>
              </w:rPr>
              <w:t>адзору</w:t>
            </w:r>
            <w:r w:rsidR="006A2A7E" w:rsidRPr="006A2A7E">
              <w:rPr>
                <w:b w:val="0"/>
                <w:sz w:val="22"/>
                <w:szCs w:val="22"/>
              </w:rPr>
              <w:t xml:space="preserve"> </w:t>
            </w:r>
            <w:r w:rsidR="00140104" w:rsidRPr="006A2A7E">
              <w:rPr>
                <w:b w:val="0"/>
                <w:sz w:val="22"/>
                <w:szCs w:val="22"/>
              </w:rPr>
              <w:t>от 8 декабря 2020 года № 505</w:t>
            </w:r>
            <w:r w:rsidR="006A2A7E">
              <w:rPr>
                <w:b w:val="0"/>
                <w:sz w:val="22"/>
                <w:szCs w:val="22"/>
              </w:rPr>
              <w:t xml:space="preserve">, </w:t>
            </w:r>
            <w:r w:rsidRPr="006A2A7E">
              <w:rPr>
                <w:b w:val="0"/>
                <w:sz w:val="22"/>
                <w:szCs w:val="22"/>
              </w:rPr>
              <w:t>инструкции по безопасному ведению взрывных работ, правил безопасности при ведении взрывных работ.</w:t>
            </w:r>
          </w:p>
          <w:p w:rsidR="003436C3" w:rsidRPr="006A2A7E" w:rsidRDefault="003436C3" w:rsidP="006A2A7E">
            <w:pPr>
              <w:pStyle w:val="20"/>
              <w:shd w:val="clear" w:color="auto" w:fill="FFFFFF"/>
              <w:spacing w:before="0" w:beforeAutospacing="0" w:after="0" w:afterAutospacing="0"/>
              <w:textAlignment w:val="baseline"/>
              <w:outlineLvl w:val="1"/>
              <w:rPr>
                <w:b w:val="0"/>
                <w:sz w:val="22"/>
                <w:szCs w:val="22"/>
              </w:rPr>
            </w:pPr>
            <w:r w:rsidRPr="006A2A7E">
              <w:rPr>
                <w:b w:val="0"/>
                <w:sz w:val="22"/>
                <w:szCs w:val="22"/>
              </w:rPr>
              <w:t>Подрядчик несёт полную ответственность</w:t>
            </w:r>
            <w:r w:rsidR="006A2A7E">
              <w:rPr>
                <w:b w:val="0"/>
                <w:sz w:val="22"/>
                <w:szCs w:val="22"/>
              </w:rPr>
              <w:t>,</w:t>
            </w:r>
            <w:r w:rsidRPr="006A2A7E">
              <w:rPr>
                <w:b w:val="0"/>
                <w:sz w:val="22"/>
                <w:szCs w:val="22"/>
              </w:rPr>
              <w:t xml:space="preserve"> и обязан строго соблюдать сроки выполнения работ, с соблюдением правил перевозки и охраны ВМ, выполнение правил охраны труда, техники безопасности, пожарной безопасности и экологической безопасности, а также графика работы и пропускного режима, правила внутреннего распорядка, действующего на территории Заказчика.</w:t>
            </w:r>
          </w:p>
          <w:p w:rsidR="003436C3" w:rsidRPr="009C0724" w:rsidRDefault="003436C3" w:rsidP="009C0724">
            <w:pPr>
              <w:spacing w:after="0" w:line="240" w:lineRule="auto"/>
              <w:ind w:firstLine="176"/>
              <w:jc w:val="both"/>
              <w:rPr>
                <w:rFonts w:ascii="Times New Roman" w:hAnsi="Times New Roman" w:cs="Times New Roman"/>
              </w:rPr>
            </w:pPr>
            <w:r w:rsidRPr="006A2A7E">
              <w:rPr>
                <w:rFonts w:ascii="Times New Roman" w:hAnsi="Times New Roman" w:cs="Times New Roman"/>
              </w:rPr>
              <w:lastRenderedPageBreak/>
              <w:t>Подрядчик за свой счёт должен производить очистку рабоч</w:t>
            </w:r>
            <w:r w:rsidRPr="009C0724">
              <w:rPr>
                <w:rFonts w:ascii="Times New Roman" w:hAnsi="Times New Roman" w:cs="Times New Roman"/>
              </w:rPr>
              <w:t>его места от мусора и посторонних предметов, образующихся в процессе выполнения работ или ремонтных работ.</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Требования к Подрядчику</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обладать управленческой компетентностью и положительной репутацией, необходимыми профессиональными знаниями и опытом, иметь необходимое ресурсное обеспечение (финансовое, производственное, материально-техническое, трудовое).</w:t>
            </w:r>
          </w:p>
          <w:p w:rsidR="0090686D" w:rsidRPr="009C0724" w:rsidRDefault="003436C3" w:rsidP="0090686D">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обладать гражданской правоспособностью в полном объёме для заключения и исполнения Договора (должен быть зарегистрирован в установленном порядке), иметь соответствующие действующие разрешения на выполнение видов деятельности в рамках Договора, а именно, лицензию на право осуществления деятельности, связанной с       обращением взрывчатых материалов промышленного назначения, выданная федеральной службой по экологическому, технологическому и атомному надзору.</w:t>
            </w:r>
          </w:p>
          <w:p w:rsidR="003436C3" w:rsidRPr="009C0724" w:rsidRDefault="0090686D" w:rsidP="003436C3">
            <w:pPr>
              <w:spacing w:after="0" w:line="240" w:lineRule="auto"/>
              <w:ind w:firstLine="176"/>
              <w:jc w:val="both"/>
              <w:rPr>
                <w:rFonts w:ascii="Times New Roman" w:hAnsi="Times New Roman" w:cs="Times New Roman"/>
              </w:rPr>
            </w:pPr>
            <w:r w:rsidRPr="009C0724">
              <w:rPr>
                <w:rFonts w:ascii="Times New Roman" w:eastAsia="Times New Roman" w:hAnsi="Times New Roman" w:cs="Times New Roman"/>
              </w:rPr>
              <w:t xml:space="preserve"> </w:t>
            </w:r>
            <w:r w:rsidRPr="009C0724">
              <w:rPr>
                <w:rFonts w:ascii="Times New Roman" w:hAnsi="Times New Roman" w:cs="Times New Roman"/>
              </w:rPr>
              <w:t>Быть членом СРО (иметь соответствующие действующие разрешения на выполнение видов деятельности в рамках Договора).</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Деятельность Подрядчика должна соответствовать целям и задачам, отражённым в учредительных документах.</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иметь все необходимые разрешительные документы (лицензии и т.</w:t>
            </w:r>
            <w:r w:rsidR="00E83F29">
              <w:rPr>
                <w:rFonts w:ascii="Times New Roman" w:hAnsi="Times New Roman" w:cs="Times New Roman"/>
              </w:rPr>
              <w:t xml:space="preserve"> </w:t>
            </w:r>
            <w:r w:rsidRPr="009C0724">
              <w:rPr>
                <w:rFonts w:ascii="Times New Roman" w:hAnsi="Times New Roman" w:cs="Times New Roman"/>
              </w:rPr>
              <w:t>д</w:t>
            </w:r>
            <w:r w:rsidR="00E83F29">
              <w:rPr>
                <w:rFonts w:ascii="Times New Roman" w:hAnsi="Times New Roman" w:cs="Times New Roman"/>
              </w:rPr>
              <w:t>.</w:t>
            </w:r>
            <w:r w:rsidRPr="009C0724">
              <w:rPr>
                <w:rFonts w:ascii="Times New Roman" w:hAnsi="Times New Roman" w:cs="Times New Roman"/>
              </w:rPr>
              <w:t>), необходимые для осуществления заявленных работ.</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иметь необходимое оборудование, складские помещения, специализированный автотранспорт, аттестованный и обученный персонал, необходимый для выполнения работ.</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не должен являться неплатёжеспособным или банкротом, находиться в процессе ликвидации, на имущество Подрядчика в части, существенной для исполнения Договора, не должен быть наложен арест, экономическая деятельность Подрядчика не должна быть приостановлена.</w:t>
            </w:r>
          </w:p>
          <w:p w:rsidR="003436C3"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обязан соблюдать условия и технологию производства работ на всех стадиях, а также контролировать качество их выполнения.</w:t>
            </w:r>
          </w:p>
          <w:p w:rsidR="00163804" w:rsidRPr="009C0724" w:rsidRDefault="00163804" w:rsidP="003436C3">
            <w:pPr>
              <w:spacing w:after="0" w:line="240" w:lineRule="auto"/>
              <w:ind w:firstLine="176"/>
              <w:jc w:val="both"/>
              <w:rPr>
                <w:rFonts w:ascii="Times New Roman" w:hAnsi="Times New Roman" w:cs="Times New Roman"/>
              </w:rPr>
            </w:pPr>
            <w:r>
              <w:rPr>
                <w:rFonts w:ascii="Times New Roman" w:hAnsi="Times New Roman" w:cs="Times New Roman"/>
              </w:rPr>
              <w:t>Подрядчик не может привлекать к производству работ Субподрядчика.</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Контроль и приёмка</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Заказчик оставляет за собой право на корректировку работ по мере их выполнения.</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Определение объёмов рыхленого известняка после БВР осуществляется путём проведения маркшейдерской съёмки горной выработки (выемки из массива в плотном теле).</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При наличии разногласий, окончательное решение по объёму рыхленного известняка принимается на основании замера маркшейдера.</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Способы и порядок оплаты</w:t>
            </w:r>
          </w:p>
        </w:tc>
        <w:tc>
          <w:tcPr>
            <w:tcW w:w="6589" w:type="dxa"/>
            <w:hideMark/>
          </w:tcPr>
          <w:p w:rsidR="003436C3" w:rsidRPr="009C0724" w:rsidRDefault="00E272B1" w:rsidP="00E83F29">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Расчёт за оказанные услуги </w:t>
            </w:r>
            <w:r w:rsidR="003436C3" w:rsidRPr="009C0724">
              <w:rPr>
                <w:rFonts w:ascii="Times New Roman" w:hAnsi="Times New Roman" w:cs="Times New Roman"/>
              </w:rPr>
              <w:t>производится на основании Актов выполненных</w:t>
            </w:r>
            <w:r w:rsidR="009C0724">
              <w:rPr>
                <w:rFonts w:ascii="Times New Roman" w:hAnsi="Times New Roman" w:cs="Times New Roman"/>
              </w:rPr>
              <w:t xml:space="preserve"> работ и счетов-фактур в течение</w:t>
            </w:r>
            <w:r w:rsidR="003436C3" w:rsidRPr="009C0724">
              <w:rPr>
                <w:rFonts w:ascii="Times New Roman" w:hAnsi="Times New Roman" w:cs="Times New Roman"/>
              </w:rPr>
              <w:t xml:space="preserve"> 60 банковских дней месяца, с момента подписания Акта выполненных работ (если иное не будет оговорено в договоре услуг комплекса </w:t>
            </w:r>
            <w:r w:rsidR="00E83F29">
              <w:rPr>
                <w:rFonts w:ascii="Times New Roman" w:hAnsi="Times New Roman" w:cs="Times New Roman"/>
              </w:rPr>
              <w:t>буровых и взрывных работ</w:t>
            </w:r>
            <w:r w:rsidR="003436C3" w:rsidRPr="009C0724">
              <w:rPr>
                <w:rFonts w:ascii="Times New Roman" w:hAnsi="Times New Roman" w:cs="Times New Roman"/>
              </w:rPr>
              <w:t xml:space="preserve">). Акт выполненных работ подтверждается справками маркшейдера. Расчётная единица </w:t>
            </w:r>
            <w:r w:rsidR="00E83F29">
              <w:rPr>
                <w:rFonts w:ascii="Times New Roman" w:hAnsi="Times New Roman" w:cs="Times New Roman"/>
              </w:rPr>
              <w:t>для буро</w:t>
            </w:r>
            <w:r w:rsidR="005C12F8">
              <w:rPr>
                <w:rFonts w:ascii="Times New Roman" w:hAnsi="Times New Roman" w:cs="Times New Roman"/>
              </w:rPr>
              <w:t>в</w:t>
            </w:r>
            <w:r w:rsidR="00E83F29">
              <w:rPr>
                <w:rFonts w:ascii="Times New Roman" w:hAnsi="Times New Roman" w:cs="Times New Roman"/>
              </w:rPr>
              <w:t>зрывных работ – 1 метр кубический</w:t>
            </w:r>
            <w:r w:rsidR="003436C3" w:rsidRPr="009C0724">
              <w:rPr>
                <w:rFonts w:ascii="Times New Roman" w:hAnsi="Times New Roman" w:cs="Times New Roman"/>
              </w:rPr>
              <w:t xml:space="preserve"> рыхленого известняка в плотном теле.</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Прочие условия</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 согласованию на объектах Заказчика Подрядчик может располагать специализированную технику и иное технологическое оборудование. Хранение на территории предприятия Заказчика </w:t>
            </w:r>
            <w:r w:rsidRPr="009C0724">
              <w:rPr>
                <w:rFonts w:ascii="Times New Roman" w:hAnsi="Times New Roman" w:cs="Times New Roman"/>
              </w:rPr>
              <w:lastRenderedPageBreak/>
              <w:t>взрывчатых материалов и средств взрывания (инициирующих) запрещено.</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 результатам тендерного отбора заключается договор на оказание комплекса услуг по буровзрывным работам.  Условия договора подряда не могут противоречить прямо оговоренным условиям настоящего технического задания.</w:t>
            </w:r>
          </w:p>
        </w:tc>
      </w:tr>
      <w:tr w:rsidR="003436C3" w:rsidRPr="003436C3" w:rsidTr="006A2E29">
        <w:tc>
          <w:tcPr>
            <w:tcW w:w="567"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Проверка местных условий</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имеет право провести обследование всех местных условий и обстоятельств выполнения услуг до представления технико-коммерческого предложения. Заказчик должен обеспечить для такого обследования доступ до объектов в</w:t>
            </w:r>
            <w:r w:rsidR="00E272B1" w:rsidRPr="009C0724">
              <w:rPr>
                <w:rFonts w:ascii="Times New Roman" w:hAnsi="Times New Roman" w:cs="Times New Roman"/>
              </w:rPr>
              <w:t>ыполнения услуг и предоставить</w:t>
            </w:r>
            <w:r w:rsidRPr="009C0724">
              <w:rPr>
                <w:rFonts w:ascii="Times New Roman" w:hAnsi="Times New Roman" w:cs="Times New Roman"/>
              </w:rPr>
              <w:t xml:space="preserve"> дополнительную и значимую для выполн</w:t>
            </w:r>
            <w:r w:rsidR="00E272B1" w:rsidRPr="009C0724">
              <w:rPr>
                <w:rFonts w:ascii="Times New Roman" w:hAnsi="Times New Roman" w:cs="Times New Roman"/>
              </w:rPr>
              <w:t xml:space="preserve">ения услуг информацию по </w:t>
            </w:r>
            <w:r w:rsidRPr="009C0724">
              <w:rPr>
                <w:rFonts w:ascii="Times New Roman" w:hAnsi="Times New Roman" w:cs="Times New Roman"/>
              </w:rPr>
              <w:t xml:space="preserve"> запросу Подрядчика. </w:t>
            </w:r>
          </w:p>
        </w:tc>
      </w:tr>
      <w:tr w:rsidR="009C0724" w:rsidRPr="003436C3" w:rsidTr="006A2E29">
        <w:tc>
          <w:tcPr>
            <w:tcW w:w="567" w:type="dxa"/>
          </w:tcPr>
          <w:p w:rsidR="009C0724" w:rsidRPr="003436C3" w:rsidRDefault="009C0724" w:rsidP="003436C3">
            <w:pPr>
              <w:pStyle w:val="a6"/>
              <w:numPr>
                <w:ilvl w:val="0"/>
                <w:numId w:val="22"/>
              </w:numPr>
              <w:spacing w:after="0" w:line="240" w:lineRule="auto"/>
              <w:jc w:val="center"/>
              <w:rPr>
                <w:rFonts w:ascii="Times New Roman" w:hAnsi="Times New Roman" w:cs="Times New Roman"/>
                <w:sz w:val="20"/>
                <w:szCs w:val="20"/>
              </w:rPr>
            </w:pPr>
          </w:p>
        </w:tc>
        <w:tc>
          <w:tcPr>
            <w:tcW w:w="3016" w:type="dxa"/>
            <w:hideMark/>
          </w:tcPr>
          <w:p w:rsidR="009C0724" w:rsidRPr="009C0724" w:rsidRDefault="009C0724" w:rsidP="003436C3">
            <w:pPr>
              <w:spacing w:after="0" w:line="240" w:lineRule="auto"/>
              <w:rPr>
                <w:rFonts w:ascii="Times New Roman" w:hAnsi="Times New Roman" w:cs="Times New Roman"/>
              </w:rPr>
            </w:pPr>
            <w:r w:rsidRPr="009C0724">
              <w:rPr>
                <w:rFonts w:ascii="Times New Roman" w:hAnsi="Times New Roman" w:cs="Times New Roman"/>
              </w:rPr>
              <w:t>Требования к представлению технико-экономического предложения</w:t>
            </w:r>
          </w:p>
        </w:tc>
        <w:tc>
          <w:tcPr>
            <w:tcW w:w="6589" w:type="dxa"/>
            <w:hideMark/>
          </w:tcPr>
          <w:p w:rsidR="009C0724" w:rsidRPr="009C0724" w:rsidRDefault="009C0724"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представляет детальное описание способа выполнения</w:t>
            </w:r>
            <w:r>
              <w:rPr>
                <w:rFonts w:ascii="Times New Roman" w:hAnsi="Times New Roman" w:cs="Times New Roman"/>
              </w:rPr>
              <w:t xml:space="preserve"> </w:t>
            </w:r>
            <w:r w:rsidRPr="009C0724">
              <w:rPr>
                <w:rFonts w:ascii="Times New Roman" w:hAnsi="Times New Roman" w:cs="Times New Roman"/>
              </w:rPr>
              <w:t>услуг, в т. ч. количество и технические характеристики задействованной техники, количество и квалификацию привлекаемого персонала</w:t>
            </w:r>
          </w:p>
        </w:tc>
      </w:tr>
    </w:tbl>
    <w:p w:rsidR="00FF7FC3" w:rsidRPr="003436C3" w:rsidRDefault="00FF7FC3" w:rsidP="00FF7FC3">
      <w:pPr>
        <w:pStyle w:val="a6"/>
        <w:spacing w:after="0" w:line="240" w:lineRule="auto"/>
        <w:ind w:left="360"/>
        <w:jc w:val="both"/>
        <w:rPr>
          <w:rFonts w:ascii="Times New Roman" w:hAnsi="Times New Roman" w:cs="Times New Roman"/>
          <w:b/>
          <w:sz w:val="24"/>
          <w:szCs w:val="24"/>
          <w:u w:val="single"/>
        </w:rPr>
      </w:pPr>
    </w:p>
    <w:p w:rsidR="00D60E37" w:rsidRPr="003436C3" w:rsidRDefault="00D60E37" w:rsidP="00E007E6">
      <w:pPr>
        <w:spacing w:after="0" w:line="240" w:lineRule="auto"/>
        <w:jc w:val="center"/>
        <w:rPr>
          <w:rFonts w:ascii="Times New Roman" w:hAnsi="Times New Roman" w:cs="Times New Roman"/>
          <w:sz w:val="24"/>
          <w:szCs w:val="24"/>
        </w:rPr>
      </w:pPr>
    </w:p>
    <w:p w:rsidR="009C0724" w:rsidRDefault="009C0724" w:rsidP="00E007E6">
      <w:pPr>
        <w:spacing w:after="0" w:line="240" w:lineRule="auto"/>
        <w:rPr>
          <w:rFonts w:ascii="Times New Roman" w:hAnsi="Times New Roman" w:cs="Times New Roman"/>
        </w:rPr>
      </w:pPr>
    </w:p>
    <w:p w:rsidR="009C0724" w:rsidRPr="004E2D3B" w:rsidRDefault="00E031DF" w:rsidP="00E007E6">
      <w:pPr>
        <w:spacing w:after="0" w:line="240" w:lineRule="auto"/>
        <w:rPr>
          <w:rFonts w:ascii="Times New Roman" w:hAnsi="Times New Roman" w:cs="Times New Roman"/>
          <w:b/>
        </w:rPr>
      </w:pPr>
      <w:r>
        <w:rPr>
          <w:rFonts w:ascii="Times New Roman" w:hAnsi="Times New Roman" w:cs="Times New Roman"/>
          <w:b/>
        </w:rPr>
        <w:t>Д</w:t>
      </w:r>
      <w:r w:rsidR="004E2D3B" w:rsidRPr="004E2D3B">
        <w:rPr>
          <w:rFonts w:ascii="Times New Roman" w:hAnsi="Times New Roman" w:cs="Times New Roman"/>
          <w:b/>
        </w:rPr>
        <w:t>иректор</w:t>
      </w:r>
      <w:r>
        <w:rPr>
          <w:rFonts w:ascii="Times New Roman" w:hAnsi="Times New Roman" w:cs="Times New Roman"/>
          <w:b/>
        </w:rPr>
        <w:t xml:space="preserve"> Липецкого филиала </w:t>
      </w:r>
    </w:p>
    <w:p w:rsidR="004E2D3B" w:rsidRPr="004E2D3B" w:rsidRDefault="004E2D3B" w:rsidP="00E007E6">
      <w:pPr>
        <w:spacing w:after="0" w:line="240" w:lineRule="auto"/>
        <w:rPr>
          <w:rFonts w:ascii="Times New Roman" w:hAnsi="Times New Roman" w:cs="Times New Roman"/>
          <w:b/>
        </w:rPr>
      </w:pPr>
      <w:r w:rsidRPr="004E2D3B">
        <w:rPr>
          <w:rFonts w:ascii="Times New Roman" w:hAnsi="Times New Roman" w:cs="Times New Roman"/>
          <w:b/>
        </w:rPr>
        <w:t>АО «</w:t>
      </w:r>
      <w:r w:rsidR="00E031DF">
        <w:rPr>
          <w:rFonts w:ascii="Times New Roman" w:hAnsi="Times New Roman" w:cs="Times New Roman"/>
          <w:b/>
        </w:rPr>
        <w:t>ЦЕМРОС</w:t>
      </w:r>
      <w:r w:rsidRPr="004E2D3B">
        <w:rPr>
          <w:rFonts w:ascii="Times New Roman" w:hAnsi="Times New Roman" w:cs="Times New Roman"/>
          <w:b/>
        </w:rPr>
        <w:t>»</w:t>
      </w:r>
      <w:r w:rsidRPr="004E2D3B">
        <w:rPr>
          <w:rFonts w:ascii="Times New Roman" w:hAnsi="Times New Roman" w:cs="Times New Roman"/>
          <w:b/>
        </w:rPr>
        <w:tab/>
      </w:r>
      <w:r w:rsidRPr="004E2D3B">
        <w:rPr>
          <w:rFonts w:ascii="Times New Roman" w:hAnsi="Times New Roman" w:cs="Times New Roman"/>
          <w:b/>
        </w:rPr>
        <w:tab/>
      </w:r>
      <w:r w:rsidRPr="004E2D3B">
        <w:rPr>
          <w:rFonts w:ascii="Times New Roman" w:hAnsi="Times New Roman" w:cs="Times New Roman"/>
          <w:b/>
        </w:rPr>
        <w:tab/>
      </w:r>
      <w:r w:rsidRPr="004E2D3B">
        <w:rPr>
          <w:rFonts w:ascii="Times New Roman" w:hAnsi="Times New Roman" w:cs="Times New Roman"/>
          <w:b/>
        </w:rPr>
        <w:tab/>
        <w:t xml:space="preserve">___________________   </w:t>
      </w:r>
      <w:r>
        <w:rPr>
          <w:rFonts w:ascii="Times New Roman" w:hAnsi="Times New Roman" w:cs="Times New Roman"/>
          <w:b/>
        </w:rPr>
        <w:t xml:space="preserve">        </w:t>
      </w:r>
      <w:r w:rsidRPr="004E2D3B">
        <w:rPr>
          <w:rFonts w:ascii="Times New Roman" w:hAnsi="Times New Roman" w:cs="Times New Roman"/>
          <w:b/>
        </w:rPr>
        <w:t>С. Н. Смирнов</w:t>
      </w:r>
    </w:p>
    <w:p w:rsidR="009C0724" w:rsidRDefault="009C0724" w:rsidP="00E007E6">
      <w:pPr>
        <w:spacing w:after="0" w:line="240" w:lineRule="auto"/>
        <w:rPr>
          <w:rFonts w:ascii="Times New Roman" w:hAnsi="Times New Roman" w:cs="Times New Roman"/>
        </w:rPr>
      </w:pPr>
    </w:p>
    <w:p w:rsidR="004E2D3B" w:rsidRDefault="004E2D3B" w:rsidP="00E007E6">
      <w:pPr>
        <w:spacing w:after="0" w:line="240" w:lineRule="auto"/>
        <w:rPr>
          <w:rFonts w:ascii="Times New Roman" w:hAnsi="Times New Roman" w:cs="Times New Roman"/>
        </w:rPr>
      </w:pPr>
    </w:p>
    <w:p w:rsidR="004E2D3B" w:rsidRDefault="004E2D3B" w:rsidP="00E007E6">
      <w:pPr>
        <w:spacing w:after="0" w:line="240" w:lineRule="auto"/>
        <w:rPr>
          <w:rFonts w:ascii="Times New Roman" w:hAnsi="Times New Roman" w:cs="Times New Roman"/>
        </w:rPr>
      </w:pPr>
    </w:p>
    <w:p w:rsidR="004E2D3B" w:rsidRDefault="004E2D3B" w:rsidP="00E007E6">
      <w:pPr>
        <w:spacing w:after="0" w:line="240" w:lineRule="auto"/>
        <w:rPr>
          <w:rFonts w:ascii="Times New Roman" w:hAnsi="Times New Roman" w:cs="Times New Roman"/>
        </w:rPr>
      </w:pPr>
    </w:p>
    <w:p w:rsidR="004E2D3B" w:rsidRDefault="004E2D3B" w:rsidP="00E007E6">
      <w:pPr>
        <w:spacing w:after="0" w:line="240" w:lineRule="auto"/>
        <w:rPr>
          <w:rFonts w:ascii="Times New Roman" w:hAnsi="Times New Roman" w:cs="Times New Roman"/>
        </w:rPr>
      </w:pPr>
    </w:p>
    <w:p w:rsidR="004E2D3B" w:rsidRDefault="004E2D3B" w:rsidP="00E007E6">
      <w:pPr>
        <w:spacing w:after="0" w:line="240" w:lineRule="auto"/>
        <w:rPr>
          <w:rFonts w:ascii="Times New Roman" w:hAnsi="Times New Roman" w:cs="Times New Roman"/>
        </w:rPr>
      </w:pPr>
    </w:p>
    <w:p w:rsidR="009C0724" w:rsidRDefault="00D60E37" w:rsidP="00E007E6">
      <w:pPr>
        <w:spacing w:after="0" w:line="240" w:lineRule="auto"/>
        <w:rPr>
          <w:rFonts w:ascii="Times New Roman" w:hAnsi="Times New Roman" w:cs="Times New Roman"/>
        </w:rPr>
      </w:pPr>
      <w:r w:rsidRPr="009C0724">
        <w:rPr>
          <w:rFonts w:ascii="Times New Roman" w:hAnsi="Times New Roman" w:cs="Times New Roman"/>
        </w:rPr>
        <w:t xml:space="preserve">Исп.: </w:t>
      </w:r>
      <w:r w:rsidR="009C0724" w:rsidRPr="009C0724">
        <w:rPr>
          <w:rFonts w:ascii="Times New Roman" w:hAnsi="Times New Roman" w:cs="Times New Roman"/>
        </w:rPr>
        <w:t>Сергеева</w:t>
      </w:r>
      <w:r w:rsidR="009C0724">
        <w:rPr>
          <w:rFonts w:ascii="Times New Roman" w:hAnsi="Times New Roman" w:cs="Times New Roman"/>
        </w:rPr>
        <w:t xml:space="preserve"> </w:t>
      </w:r>
      <w:r w:rsidR="009C0724" w:rsidRPr="009C0724">
        <w:rPr>
          <w:rFonts w:ascii="Times New Roman" w:hAnsi="Times New Roman" w:cs="Times New Roman"/>
        </w:rPr>
        <w:t xml:space="preserve">Е. В. </w:t>
      </w:r>
    </w:p>
    <w:p w:rsidR="00D60E37" w:rsidRPr="009C0724" w:rsidRDefault="00A62D19" w:rsidP="00E007E6">
      <w:pPr>
        <w:spacing w:after="0" w:line="240" w:lineRule="auto"/>
        <w:rPr>
          <w:rFonts w:ascii="Times New Roman" w:hAnsi="Times New Roman" w:cs="Times New Roman"/>
        </w:rPr>
      </w:pPr>
      <w:r w:rsidRPr="009C0724">
        <w:rPr>
          <w:rFonts w:ascii="Times New Roman" w:hAnsi="Times New Roman" w:cs="Times New Roman"/>
        </w:rPr>
        <w:t>+7(4742)</w:t>
      </w:r>
      <w:r w:rsidR="009C0724">
        <w:rPr>
          <w:rFonts w:ascii="Times New Roman" w:hAnsi="Times New Roman" w:cs="Times New Roman"/>
        </w:rPr>
        <w:t xml:space="preserve"> </w:t>
      </w:r>
      <w:r w:rsidRPr="009C0724">
        <w:rPr>
          <w:rFonts w:ascii="Times New Roman" w:hAnsi="Times New Roman" w:cs="Times New Roman"/>
        </w:rPr>
        <w:t>30-97-34</w:t>
      </w:r>
    </w:p>
    <w:sectPr w:rsidR="00D60E37" w:rsidRPr="009C0724" w:rsidSect="0033739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76" w:rsidRDefault="00910976" w:rsidP="007E40F5">
      <w:pPr>
        <w:spacing w:after="0" w:line="240" w:lineRule="auto"/>
      </w:pPr>
      <w:r>
        <w:separator/>
      </w:r>
    </w:p>
  </w:endnote>
  <w:endnote w:type="continuationSeparator" w:id="0">
    <w:p w:rsidR="00910976" w:rsidRDefault="00910976" w:rsidP="007E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76" w:rsidRDefault="00910976" w:rsidP="007E40F5">
      <w:pPr>
        <w:spacing w:after="0" w:line="240" w:lineRule="auto"/>
      </w:pPr>
      <w:r>
        <w:separator/>
      </w:r>
    </w:p>
  </w:footnote>
  <w:footnote w:type="continuationSeparator" w:id="0">
    <w:p w:rsidR="00910976" w:rsidRDefault="00910976" w:rsidP="007E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8" w:rsidRPr="0028425D" w:rsidRDefault="00910976" w:rsidP="002842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BA1"/>
    <w:multiLevelType w:val="multilevel"/>
    <w:tmpl w:val="277C0496"/>
    <w:lvl w:ilvl="0">
      <w:start w:val="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DF3562"/>
    <w:multiLevelType w:val="multilevel"/>
    <w:tmpl w:val="F20E841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i w:val="0"/>
        <w:color w:val="auto"/>
      </w:rPr>
    </w:lvl>
    <w:lvl w:ilvl="3">
      <w:start w:val="1"/>
      <w:numFmt w:val="decimal"/>
      <w:pStyle w:val="5"/>
      <w:lvlText w:val="(%4)"/>
      <w:lvlJc w:val="left"/>
      <w:pPr>
        <w:ind w:left="1985"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81978"/>
    <w:multiLevelType w:val="multilevel"/>
    <w:tmpl w:val="9D347C18"/>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02231"/>
    <w:multiLevelType w:val="hybridMultilevel"/>
    <w:tmpl w:val="E3B2A1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B3CC8"/>
    <w:multiLevelType w:val="hybridMultilevel"/>
    <w:tmpl w:val="B3707E56"/>
    <w:lvl w:ilvl="0" w:tplc="41D274CC">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34717E"/>
    <w:multiLevelType w:val="multilevel"/>
    <w:tmpl w:val="9E6620CA"/>
    <w:lvl w:ilvl="0">
      <w:start w:val="1"/>
      <w:numFmt w:val="decimal"/>
      <w:lvlText w:val="%1."/>
      <w:lvlJc w:val="left"/>
      <w:pPr>
        <w:ind w:left="360" w:hanging="360"/>
      </w:pPr>
      <w:rPr>
        <w:b/>
        <w:sz w:val="28"/>
        <w:szCs w:val="28"/>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7C2B0C"/>
    <w:multiLevelType w:val="multilevel"/>
    <w:tmpl w:val="8E2E1B7E"/>
    <w:lvl w:ilvl="0">
      <w:start w:val="1"/>
      <w:numFmt w:val="decimal"/>
      <w:lvlText w:val="%1."/>
      <w:lvlJc w:val="left"/>
      <w:pPr>
        <w:tabs>
          <w:tab w:val="num" w:pos="840"/>
        </w:tabs>
        <w:ind w:left="840" w:hanging="360"/>
      </w:pPr>
      <w:rPr>
        <w:rFonts w:cs="Times New Roman" w:hint="default"/>
        <w:b/>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430" w:hanging="720"/>
      </w:pPr>
      <w:rPr>
        <w:rFonts w:cs="Times New Roman" w:hint="default"/>
        <w:b/>
        <w:i w:val="0"/>
        <w:color w:val="auto"/>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0" w15:restartNumberingAfterBreak="0">
    <w:nsid w:val="47BD541E"/>
    <w:multiLevelType w:val="hybridMultilevel"/>
    <w:tmpl w:val="9414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77435B"/>
    <w:multiLevelType w:val="hybridMultilevel"/>
    <w:tmpl w:val="FDC65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E7724"/>
    <w:multiLevelType w:val="multilevel"/>
    <w:tmpl w:val="041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614C6A36"/>
    <w:multiLevelType w:val="hybridMultilevel"/>
    <w:tmpl w:val="DBB073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1D750F3"/>
    <w:multiLevelType w:val="hybridMultilevel"/>
    <w:tmpl w:val="08B43BFE"/>
    <w:lvl w:ilvl="0" w:tplc="CB5E75D6">
      <w:start w:val="1"/>
      <w:numFmt w:val="decimal"/>
      <w:lvlText w:val="%1."/>
      <w:lvlJc w:val="left"/>
      <w:pPr>
        <w:ind w:left="720" w:hanging="360"/>
      </w:pPr>
      <w:rPr>
        <w:rFonts w:ascii="Times New Roman" w:hAnsi="Times New Roman" w:cs="Times New Roman"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0B2488"/>
    <w:multiLevelType w:val="multilevel"/>
    <w:tmpl w:val="08BC53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F25363"/>
    <w:multiLevelType w:val="hybridMultilevel"/>
    <w:tmpl w:val="69F41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230BB"/>
    <w:multiLevelType w:val="hybridMultilevel"/>
    <w:tmpl w:val="6882CD7E"/>
    <w:lvl w:ilvl="0" w:tplc="EC2AA002">
      <w:start w:val="1"/>
      <w:numFmt w:val="decimal"/>
      <w:lvlText w:val="5.%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1CA35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C2541F"/>
    <w:multiLevelType w:val="multilevel"/>
    <w:tmpl w:val="E4BC9740"/>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0" w15:restartNumberingAfterBreak="0">
    <w:nsid w:val="7D916CA7"/>
    <w:multiLevelType w:val="hybridMultilevel"/>
    <w:tmpl w:val="4702A00C"/>
    <w:lvl w:ilvl="0" w:tplc="57F6CA1E">
      <w:start w:val="1"/>
      <w:numFmt w:val="decimal"/>
      <w:lvlText w:val="6.%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0"/>
  </w:num>
  <w:num w:numId="2">
    <w:abstractNumId w:val="1"/>
  </w:num>
  <w:num w:numId="3">
    <w:abstractNumId w:val="9"/>
  </w:num>
  <w:num w:numId="4">
    <w:abstractNumId w:val="19"/>
  </w:num>
  <w:num w:numId="5">
    <w:abstractNumId w:val="6"/>
  </w:num>
  <w:num w:numId="6">
    <w:abstractNumId w:val="14"/>
  </w:num>
  <w:num w:numId="7">
    <w:abstractNumId w:val="8"/>
  </w:num>
  <w:num w:numId="8">
    <w:abstractNumId w:val="17"/>
  </w:num>
  <w:num w:numId="9">
    <w:abstractNumId w:val="20"/>
  </w:num>
  <w:num w:numId="10">
    <w:abstractNumId w:val="8"/>
    <w:lvlOverride w:ilvl="0">
      <w:lvl w:ilvl="0">
        <w:start w:val="1"/>
        <w:numFmt w:val="decimal"/>
        <w:lvlText w:val="%1."/>
        <w:lvlJc w:val="left"/>
        <w:pPr>
          <w:ind w:left="0" w:firstLine="0"/>
        </w:pPr>
        <w:rPr>
          <w:rFonts w:hint="default"/>
          <w:b/>
          <w:sz w:val="28"/>
          <w:szCs w:val="28"/>
        </w:rPr>
      </w:lvl>
    </w:lvlOverride>
    <w:lvlOverride w:ilvl="1">
      <w:lvl w:ilvl="1">
        <w:start w:val="7"/>
        <w:numFmt w:val="decimal"/>
        <w:isLgl/>
        <w:lvlText w:val="%1.%2"/>
        <w:lvlJc w:val="left"/>
        <w:pPr>
          <w:ind w:left="810" w:hanging="45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
    <w:abstractNumId w:val="0"/>
  </w:num>
  <w:num w:numId="12">
    <w:abstractNumId w:val="11"/>
  </w:num>
  <w:num w:numId="13">
    <w:abstractNumId w:val="18"/>
  </w:num>
  <w:num w:numId="14">
    <w:abstractNumId w:val="15"/>
  </w:num>
  <w:num w:numId="15">
    <w:abstractNumId w:val="12"/>
  </w:num>
  <w:num w:numId="16">
    <w:abstractNumId w:val="3"/>
  </w:num>
  <w:num w:numId="17">
    <w:abstractNumId w:val="16"/>
  </w:num>
  <w:num w:numId="18">
    <w:abstractNumId w:val="4"/>
  </w:num>
  <w:num w:numId="19">
    <w:abstractNumId w:val="7"/>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0D"/>
    <w:rsid w:val="0004227E"/>
    <w:rsid w:val="00081BBA"/>
    <w:rsid w:val="000C1A89"/>
    <w:rsid w:val="000D6051"/>
    <w:rsid w:val="000E307F"/>
    <w:rsid w:val="00115D76"/>
    <w:rsid w:val="00140104"/>
    <w:rsid w:val="001447A8"/>
    <w:rsid w:val="00163804"/>
    <w:rsid w:val="001748F4"/>
    <w:rsid w:val="0017763F"/>
    <w:rsid w:val="001963E7"/>
    <w:rsid w:val="0028425D"/>
    <w:rsid w:val="002A542D"/>
    <w:rsid w:val="002C1B2A"/>
    <w:rsid w:val="002C78B5"/>
    <w:rsid w:val="003116A2"/>
    <w:rsid w:val="00317309"/>
    <w:rsid w:val="003436C3"/>
    <w:rsid w:val="003747CD"/>
    <w:rsid w:val="003757FD"/>
    <w:rsid w:val="003D63F4"/>
    <w:rsid w:val="00425389"/>
    <w:rsid w:val="00454503"/>
    <w:rsid w:val="00484200"/>
    <w:rsid w:val="004A79CF"/>
    <w:rsid w:val="004D0047"/>
    <w:rsid w:val="004E2D3B"/>
    <w:rsid w:val="005231F1"/>
    <w:rsid w:val="00537BCF"/>
    <w:rsid w:val="00544DE0"/>
    <w:rsid w:val="00562E47"/>
    <w:rsid w:val="00572065"/>
    <w:rsid w:val="005B0157"/>
    <w:rsid w:val="005B1A86"/>
    <w:rsid w:val="005C12F8"/>
    <w:rsid w:val="005F7153"/>
    <w:rsid w:val="00600EFB"/>
    <w:rsid w:val="006073EC"/>
    <w:rsid w:val="00620CE8"/>
    <w:rsid w:val="0067137F"/>
    <w:rsid w:val="006769D1"/>
    <w:rsid w:val="006A2A7E"/>
    <w:rsid w:val="006A2E29"/>
    <w:rsid w:val="00764721"/>
    <w:rsid w:val="007A0DAB"/>
    <w:rsid w:val="007C4E6C"/>
    <w:rsid w:val="007E00C8"/>
    <w:rsid w:val="007E40F5"/>
    <w:rsid w:val="00864348"/>
    <w:rsid w:val="00873F0D"/>
    <w:rsid w:val="0087604F"/>
    <w:rsid w:val="008D34A2"/>
    <w:rsid w:val="008E5341"/>
    <w:rsid w:val="0090686D"/>
    <w:rsid w:val="00910976"/>
    <w:rsid w:val="00934222"/>
    <w:rsid w:val="00991DC5"/>
    <w:rsid w:val="009B2954"/>
    <w:rsid w:val="009C0724"/>
    <w:rsid w:val="009C4816"/>
    <w:rsid w:val="009D6801"/>
    <w:rsid w:val="009E49DA"/>
    <w:rsid w:val="00A62D19"/>
    <w:rsid w:val="00A73A0B"/>
    <w:rsid w:val="00A754F6"/>
    <w:rsid w:val="00B1309B"/>
    <w:rsid w:val="00BC1947"/>
    <w:rsid w:val="00C47552"/>
    <w:rsid w:val="00C66F55"/>
    <w:rsid w:val="00C72441"/>
    <w:rsid w:val="00C72477"/>
    <w:rsid w:val="00C9327A"/>
    <w:rsid w:val="00CB372E"/>
    <w:rsid w:val="00CC0E28"/>
    <w:rsid w:val="00CF7E13"/>
    <w:rsid w:val="00D507B9"/>
    <w:rsid w:val="00D60E37"/>
    <w:rsid w:val="00D71D1C"/>
    <w:rsid w:val="00D71FA2"/>
    <w:rsid w:val="00DD3747"/>
    <w:rsid w:val="00DD46D1"/>
    <w:rsid w:val="00E007E6"/>
    <w:rsid w:val="00E031DF"/>
    <w:rsid w:val="00E15786"/>
    <w:rsid w:val="00E23F9F"/>
    <w:rsid w:val="00E26B6C"/>
    <w:rsid w:val="00E272B1"/>
    <w:rsid w:val="00E54284"/>
    <w:rsid w:val="00E7440B"/>
    <w:rsid w:val="00E83F29"/>
    <w:rsid w:val="00E946F8"/>
    <w:rsid w:val="00EB4DBF"/>
    <w:rsid w:val="00EC71C0"/>
    <w:rsid w:val="00EE38EE"/>
    <w:rsid w:val="00F63C81"/>
    <w:rsid w:val="00F771BA"/>
    <w:rsid w:val="00FA2707"/>
    <w:rsid w:val="00FC2D12"/>
    <w:rsid w:val="00FE38FF"/>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D1A9"/>
  <w15:docId w15:val="{B02D9C4A-20DB-4460-B852-DA85BB37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E40F5"/>
    <w:pPr>
      <w:spacing w:after="200" w:line="276" w:lineRule="auto"/>
    </w:pPr>
  </w:style>
  <w:style w:type="paragraph" w:styleId="20">
    <w:name w:val="heading 2"/>
    <w:basedOn w:val="a0"/>
    <w:link w:val="21"/>
    <w:uiPriority w:val="9"/>
    <w:qFormat/>
    <w:rsid w:val="001401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E40F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E40F5"/>
  </w:style>
  <w:style w:type="paragraph" w:styleId="a6">
    <w:name w:val="List Paragraph"/>
    <w:basedOn w:val="a0"/>
    <w:link w:val="a7"/>
    <w:uiPriority w:val="34"/>
    <w:qFormat/>
    <w:rsid w:val="007E40F5"/>
    <w:pPr>
      <w:ind w:left="720"/>
      <w:contextualSpacing/>
    </w:pPr>
  </w:style>
  <w:style w:type="character" w:customStyle="1" w:styleId="a7">
    <w:name w:val="Абзац списка Знак"/>
    <w:link w:val="a6"/>
    <w:uiPriority w:val="34"/>
    <w:rsid w:val="007E40F5"/>
  </w:style>
  <w:style w:type="paragraph" w:styleId="a8">
    <w:name w:val="footnote text"/>
    <w:basedOn w:val="a0"/>
    <w:link w:val="a9"/>
    <w:uiPriority w:val="99"/>
    <w:unhideWhenUsed/>
    <w:rsid w:val="007E40F5"/>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9">
    <w:name w:val="Текст сноски Знак"/>
    <w:basedOn w:val="a1"/>
    <w:link w:val="a8"/>
    <w:uiPriority w:val="99"/>
    <w:rsid w:val="007E40F5"/>
    <w:rPr>
      <w:rFonts w:ascii="Arial" w:eastAsia="Times New Roman" w:hAnsi="Arial" w:cs="Times New Roman"/>
      <w:snapToGrid w:val="0"/>
      <w:sz w:val="20"/>
      <w:szCs w:val="20"/>
      <w:lang w:eastAsia="ru-RU"/>
    </w:rPr>
  </w:style>
  <w:style w:type="character" w:styleId="aa">
    <w:name w:val="footnote reference"/>
    <w:basedOn w:val="a1"/>
    <w:uiPriority w:val="99"/>
    <w:semiHidden/>
    <w:unhideWhenUsed/>
    <w:rsid w:val="007E40F5"/>
    <w:rPr>
      <w:vertAlign w:val="superscript"/>
    </w:rPr>
  </w:style>
  <w:style w:type="paragraph" w:styleId="ab">
    <w:name w:val="footer"/>
    <w:basedOn w:val="a0"/>
    <w:link w:val="ac"/>
    <w:uiPriority w:val="99"/>
    <w:unhideWhenUsed/>
    <w:rsid w:val="0028425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8425D"/>
  </w:style>
  <w:style w:type="table" w:styleId="ad">
    <w:name w:val="Table Grid"/>
    <w:basedOn w:val="a2"/>
    <w:uiPriority w:val="39"/>
    <w:rsid w:val="00D6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D60E37"/>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60E37"/>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e"/>
    <w:uiPriority w:val="99"/>
    <w:qFormat/>
    <w:rsid w:val="00D60E37"/>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D60E37"/>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60E37"/>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D60E37"/>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89">
    <w:name w:val="Стиль89"/>
    <w:basedOn w:val="a1"/>
    <w:uiPriority w:val="1"/>
    <w:rsid w:val="00D60E37"/>
  </w:style>
  <w:style w:type="paragraph" w:styleId="af">
    <w:name w:val="Body Text"/>
    <w:basedOn w:val="a0"/>
    <w:link w:val="af0"/>
    <w:unhideWhenUsed/>
    <w:rsid w:val="00E7440B"/>
    <w:pPr>
      <w:spacing w:after="0" w:line="240" w:lineRule="auto"/>
      <w:jc w:val="both"/>
    </w:pPr>
    <w:rPr>
      <w:rFonts w:ascii="Times New Roman" w:eastAsia="Times New Roman" w:hAnsi="Times New Roman" w:cs="Times New Roman"/>
      <w:b/>
      <w:sz w:val="28"/>
      <w:szCs w:val="20"/>
      <w:lang w:eastAsia="ru-RU"/>
    </w:rPr>
  </w:style>
  <w:style w:type="character" w:customStyle="1" w:styleId="af0">
    <w:name w:val="Основной текст Знак"/>
    <w:basedOn w:val="a1"/>
    <w:link w:val="af"/>
    <w:rsid w:val="00E7440B"/>
    <w:rPr>
      <w:rFonts w:ascii="Times New Roman" w:eastAsia="Times New Roman" w:hAnsi="Times New Roman" w:cs="Times New Roman"/>
      <w:b/>
      <w:sz w:val="28"/>
      <w:szCs w:val="20"/>
      <w:lang w:eastAsia="ru-RU"/>
    </w:rPr>
  </w:style>
  <w:style w:type="paragraph" w:styleId="af1">
    <w:name w:val="No Spacing"/>
    <w:basedOn w:val="a0"/>
    <w:qFormat/>
    <w:rsid w:val="00E7440B"/>
    <w:pPr>
      <w:spacing w:after="0" w:line="240" w:lineRule="auto"/>
    </w:pPr>
    <w:rPr>
      <w:rFonts w:ascii="Times New Roman" w:eastAsia="Times New Roman" w:hAnsi="Times New Roman" w:cs="Times New Roman"/>
      <w:sz w:val="24"/>
      <w:szCs w:val="32"/>
      <w:lang w:val="en-US" w:bidi="en-US"/>
    </w:rPr>
  </w:style>
  <w:style w:type="character" w:customStyle="1" w:styleId="ae">
    <w:name w:val="[Ростех] Простой текст (Без уровня) Знак"/>
    <w:basedOn w:val="a1"/>
    <w:link w:val="a"/>
    <w:uiPriority w:val="99"/>
    <w:rsid w:val="00E15786"/>
    <w:rPr>
      <w:rFonts w:ascii="Proxima Nova ExCn Rg" w:eastAsia="Times New Roman" w:hAnsi="Proxima Nova ExCn Rg" w:cs="Times New Roman"/>
      <w:sz w:val="28"/>
      <w:szCs w:val="28"/>
      <w:lang w:eastAsia="ru-RU"/>
    </w:rPr>
  </w:style>
  <w:style w:type="paragraph" w:styleId="af2">
    <w:name w:val="Balloon Text"/>
    <w:basedOn w:val="a0"/>
    <w:link w:val="af3"/>
    <w:uiPriority w:val="99"/>
    <w:semiHidden/>
    <w:unhideWhenUsed/>
    <w:rsid w:val="00A62D1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A62D19"/>
    <w:rPr>
      <w:rFonts w:ascii="Tahoma" w:hAnsi="Tahoma" w:cs="Tahoma"/>
      <w:sz w:val="16"/>
      <w:szCs w:val="16"/>
    </w:rPr>
  </w:style>
  <w:style w:type="character" w:styleId="af4">
    <w:name w:val="Hyperlink"/>
    <w:basedOn w:val="a1"/>
    <w:uiPriority w:val="99"/>
    <w:semiHidden/>
    <w:unhideWhenUsed/>
    <w:rsid w:val="00140104"/>
    <w:rPr>
      <w:color w:val="0000FF"/>
      <w:u w:val="single"/>
    </w:rPr>
  </w:style>
  <w:style w:type="character" w:customStyle="1" w:styleId="21">
    <w:name w:val="Заголовок 2 Знак"/>
    <w:basedOn w:val="a1"/>
    <w:link w:val="20"/>
    <w:uiPriority w:val="9"/>
    <w:rsid w:val="0014010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652">
      <w:bodyDiv w:val="1"/>
      <w:marLeft w:val="0"/>
      <w:marRight w:val="0"/>
      <w:marTop w:val="0"/>
      <w:marBottom w:val="0"/>
      <w:divBdr>
        <w:top w:val="none" w:sz="0" w:space="0" w:color="auto"/>
        <w:left w:val="none" w:sz="0" w:space="0" w:color="auto"/>
        <w:bottom w:val="none" w:sz="0" w:space="0" w:color="auto"/>
        <w:right w:val="none" w:sz="0" w:space="0" w:color="auto"/>
      </w:divBdr>
    </w:div>
    <w:div w:id="477500161">
      <w:bodyDiv w:val="1"/>
      <w:marLeft w:val="0"/>
      <w:marRight w:val="0"/>
      <w:marTop w:val="0"/>
      <w:marBottom w:val="0"/>
      <w:divBdr>
        <w:top w:val="none" w:sz="0" w:space="0" w:color="auto"/>
        <w:left w:val="none" w:sz="0" w:space="0" w:color="auto"/>
        <w:bottom w:val="none" w:sz="0" w:space="0" w:color="auto"/>
        <w:right w:val="none" w:sz="0" w:space="0" w:color="auto"/>
      </w:divBdr>
    </w:div>
    <w:div w:id="517156784">
      <w:bodyDiv w:val="1"/>
      <w:marLeft w:val="0"/>
      <w:marRight w:val="0"/>
      <w:marTop w:val="0"/>
      <w:marBottom w:val="0"/>
      <w:divBdr>
        <w:top w:val="none" w:sz="0" w:space="0" w:color="auto"/>
        <w:left w:val="none" w:sz="0" w:space="0" w:color="auto"/>
        <w:bottom w:val="none" w:sz="0" w:space="0" w:color="auto"/>
        <w:right w:val="none" w:sz="0" w:space="0" w:color="auto"/>
      </w:divBdr>
    </w:div>
    <w:div w:id="612204023">
      <w:bodyDiv w:val="1"/>
      <w:marLeft w:val="0"/>
      <w:marRight w:val="0"/>
      <w:marTop w:val="0"/>
      <w:marBottom w:val="0"/>
      <w:divBdr>
        <w:top w:val="none" w:sz="0" w:space="0" w:color="auto"/>
        <w:left w:val="none" w:sz="0" w:space="0" w:color="auto"/>
        <w:bottom w:val="none" w:sz="0" w:space="0" w:color="auto"/>
        <w:right w:val="none" w:sz="0" w:space="0" w:color="auto"/>
      </w:divBdr>
    </w:div>
    <w:div w:id="1067150265">
      <w:bodyDiv w:val="1"/>
      <w:marLeft w:val="0"/>
      <w:marRight w:val="0"/>
      <w:marTop w:val="0"/>
      <w:marBottom w:val="0"/>
      <w:divBdr>
        <w:top w:val="none" w:sz="0" w:space="0" w:color="auto"/>
        <w:left w:val="none" w:sz="0" w:space="0" w:color="auto"/>
        <w:bottom w:val="none" w:sz="0" w:space="0" w:color="auto"/>
        <w:right w:val="none" w:sz="0" w:space="0" w:color="auto"/>
      </w:divBdr>
    </w:div>
    <w:div w:id="16230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usmed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731561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38A5-A69C-4282-B90C-C1907359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Eurocem</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Грешникова Алина Александровна</dc:creator>
  <cp:lastModifiedBy>Сергеева Евгения Валерьевна</cp:lastModifiedBy>
  <cp:revision>4</cp:revision>
  <cp:lastPrinted>2021-08-24T11:17:00Z</cp:lastPrinted>
  <dcterms:created xsi:type="dcterms:W3CDTF">2024-10-30T07:05:00Z</dcterms:created>
  <dcterms:modified xsi:type="dcterms:W3CDTF">2024-10-30T10:33:00Z</dcterms:modified>
</cp:coreProperties>
</file>