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7E62" w14:textId="77777777" w:rsidR="009446E1" w:rsidRDefault="009446E1" w:rsidP="009446E1">
      <w:pPr>
        <w:keepNext/>
        <w:keepLines/>
        <w:tabs>
          <w:tab w:val="left" w:pos="0"/>
        </w:tabs>
        <w:snapToGrid w:val="0"/>
        <w:spacing w:before="600" w:after="240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Приложение № 1. Памятка о Единой Горячей линии</w:t>
      </w:r>
    </w:p>
    <w:p w14:paraId="3C704267" w14:textId="77777777" w:rsidR="009446E1" w:rsidRDefault="009446E1" w:rsidP="009446E1">
      <w:pPr>
        <w:snapToGrid w:val="0"/>
        <w:ind w:left="567" w:firstLine="567"/>
        <w:contextualSpacing/>
        <w:jc w:val="both"/>
        <w:rPr>
          <w:rFonts w:ascii="Times New Roman" w:hAnsi="Times New Roman"/>
          <w:b/>
          <w:color w:val="000000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9"/>
      </w:tblGrid>
      <w:tr w:rsidR="009446E1" w14:paraId="3B1C609F" w14:textId="77777777" w:rsidTr="006F2B72">
        <w:trPr>
          <w:trHeight w:val="1021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4A3A" w14:textId="77777777" w:rsidR="009446E1" w:rsidRDefault="009446E1" w:rsidP="006F2B72">
            <w:pPr>
              <w:snapToGrid w:val="0"/>
              <w:spacing w:before="120" w:after="120" w:line="288" w:lineRule="auto"/>
              <w:ind w:left="567" w:firstLine="567"/>
              <w:jc w:val="both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367ABD0" wp14:editId="2B370F93">
                  <wp:simplePos x="0" y="0"/>
                  <wp:positionH relativeFrom="margin">
                    <wp:posOffset>2070100</wp:posOffset>
                  </wp:positionH>
                  <wp:positionV relativeFrom="paragraph">
                    <wp:posOffset>150495</wp:posOffset>
                  </wp:positionV>
                  <wp:extent cx="1819275" cy="475615"/>
                  <wp:effectExtent l="0" t="0" r="0" b="0"/>
                  <wp:wrapNone/>
                  <wp:docPr id="7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446E1" w14:paraId="65493EBF" w14:textId="77777777" w:rsidTr="006F2B72">
        <w:trPr>
          <w:trHeight w:val="173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8D87" w14:textId="77777777" w:rsidR="009446E1" w:rsidRDefault="009446E1" w:rsidP="006F2B72">
            <w:pPr>
              <w:snapToGrid w:val="0"/>
              <w:spacing w:before="120" w:after="120" w:line="288" w:lineRule="auto"/>
              <w:ind w:left="567" w:firstLine="567"/>
              <w:jc w:val="center"/>
              <w:rPr>
                <w:rFonts w:ascii="Times New Roman" w:eastAsia="Calibri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32"/>
              </w:rPr>
              <w:t>ПАМЯТКА О ЕДИНОЙ ГОРЯЧЕЙ ЛИНИИ</w:t>
            </w:r>
          </w:p>
        </w:tc>
      </w:tr>
      <w:tr w:rsidR="009446E1" w14:paraId="373C3CA0" w14:textId="77777777" w:rsidTr="006F2B72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02E6" w14:textId="77777777" w:rsidR="009446E1" w:rsidRDefault="009446E1" w:rsidP="006F2B72">
            <w:pPr>
              <w:snapToGrid w:val="0"/>
              <w:spacing w:before="120" w:after="120" w:line="288" w:lineRule="auto"/>
              <w:ind w:left="567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Единая Горячая Линия </w:t>
            </w:r>
            <w:r>
              <w:rPr>
                <w:rFonts w:ascii="Times New Roman" w:hAnsi="Times New Roman"/>
                <w:sz w:val="24"/>
              </w:rPr>
              <w:t>- инструмент для повышения эффективности АО «Элемент» и его Дочерних и зависимых обществ и предназначена для приёма сообщений о недостатках.</w:t>
            </w:r>
          </w:p>
          <w:p w14:paraId="7CF0FF67" w14:textId="77777777" w:rsidR="009446E1" w:rsidRDefault="009446E1" w:rsidP="006F2B72">
            <w:pPr>
              <w:snapToGrid w:val="0"/>
              <w:spacing w:before="120" w:after="120" w:line="288" w:lineRule="auto"/>
              <w:ind w:left="567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Вы обладаете информацией о злоупотреблениях при реализации проектов и ведении финансово-хозяйственной деятельности; случаях неправомерного завладения, разглашения и/или использования сведений, составляющих коммерческую тайну или информацию ограниченного доступа; возможных действиях коррупционного или мошеннического характера со стороны представителей АО «Элемент», его Дочерних и зависимых обществ и контрагентов, - незамедлительно сообщите об этом нам любым удобным способом:</w:t>
            </w:r>
          </w:p>
          <w:p w14:paraId="4483080E" w14:textId="77777777" w:rsidR="009446E1" w:rsidRDefault="009446E1" w:rsidP="006F2B72">
            <w:pPr>
              <w:tabs>
                <w:tab w:val="left" w:pos="2022"/>
              </w:tabs>
              <w:snapToGrid w:val="0"/>
              <w:spacing w:before="120" w:after="120" w:line="288" w:lineRule="auto"/>
              <w:ind w:left="2305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A5D390A" wp14:editId="65622F23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52705</wp:posOffset>
                  </wp:positionV>
                  <wp:extent cx="542925" cy="539750"/>
                  <wp:effectExtent l="0" t="0" r="0" b="0"/>
                  <wp:wrapSquare wrapText="bothSides"/>
                  <wp:docPr id="6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Сообщение на электронный почтовый ящик </w:t>
            </w:r>
            <w:hyperlink r:id="rId7" w:history="1">
              <w:r>
                <w:rPr>
                  <w:rFonts w:ascii="Times New Roman" w:hAnsi="Times New Roman"/>
                  <w:color w:val="C00000"/>
                  <w:sz w:val="24"/>
                  <w:u w:val="single"/>
                </w:rPr>
                <w:t>hotline@elementec.ru</w:t>
              </w:r>
            </w:hyperlink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или через форму обратной связи на сайте </w:t>
            </w:r>
            <w:hyperlink r:id="rId8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www.elementec.ru</w:t>
              </w:r>
            </w:hyperlink>
            <w:r>
              <w:rPr>
                <w:rFonts w:ascii="Times New Roman" w:hAnsi="Times New Roman"/>
                <w:sz w:val="24"/>
              </w:rPr>
              <w:t>;</w:t>
            </w:r>
          </w:p>
          <w:p w14:paraId="71D8E1D1" w14:textId="77777777" w:rsidR="009446E1" w:rsidRDefault="009446E1" w:rsidP="006F2B72">
            <w:pPr>
              <w:tabs>
                <w:tab w:val="left" w:pos="2022"/>
              </w:tabs>
              <w:snapToGrid w:val="0"/>
              <w:spacing w:before="120" w:after="120" w:line="288" w:lineRule="auto"/>
              <w:ind w:left="2305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02B75152" wp14:editId="4DB77714">
                  <wp:simplePos x="0" y="0"/>
                  <wp:positionH relativeFrom="column">
                    <wp:posOffset>478155</wp:posOffset>
                  </wp:positionH>
                  <wp:positionV relativeFrom="paragraph">
                    <wp:posOffset>58420</wp:posOffset>
                  </wp:positionV>
                  <wp:extent cx="536575" cy="539750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</w:rPr>
              <w:t xml:space="preserve">Голосовое сообщение на автоответчик по круглосуточному телефону Единой Горячей Линии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>+7 (495) 701-03-33</w:t>
            </w:r>
            <w:r>
              <w:rPr>
                <w:rFonts w:ascii="Times New Roman" w:hAnsi="Times New Roman"/>
                <w:sz w:val="24"/>
              </w:rPr>
              <w:t>;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285BFBE0" w14:textId="77777777" w:rsidR="009446E1" w:rsidRDefault="009446E1" w:rsidP="006F2B72">
            <w:pPr>
              <w:tabs>
                <w:tab w:val="left" w:pos="2022"/>
              </w:tabs>
              <w:snapToGrid w:val="0"/>
              <w:spacing w:before="120" w:after="120" w:line="288" w:lineRule="auto"/>
              <w:ind w:left="2305" w:firstLine="56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62336" behindDoc="0" locked="0" layoutInCell="1" allowOverlap="1" wp14:anchorId="12600E44" wp14:editId="0A100293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74295</wp:posOffset>
                  </wp:positionV>
                  <wp:extent cx="542290" cy="53975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</w:rPr>
              <w:t>Письмо по почте или курьером по адресу: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t xml:space="preserve">123112, г. Москва, Пресненская наб. 12 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br/>
              <w:t>Башня Федерация «Восток», 20 этаж (оф. 2027)</w:t>
            </w:r>
            <w:r>
              <w:rPr>
                <w:rFonts w:ascii="Times New Roman" w:hAnsi="Times New Roman"/>
                <w:b/>
                <w:color w:val="C00000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 пометкой «Единая Горячая Линия»</w:t>
            </w:r>
          </w:p>
          <w:p w14:paraId="6BDA780B" w14:textId="77777777" w:rsidR="009446E1" w:rsidRDefault="009446E1" w:rsidP="006F2B72">
            <w:pPr>
              <w:tabs>
                <w:tab w:val="left" w:pos="2280"/>
              </w:tabs>
              <w:snapToGrid w:val="0"/>
              <w:spacing w:before="120" w:after="120" w:line="288" w:lineRule="auto"/>
              <w:ind w:left="567" w:firstLine="56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Ваши сообщения в конфиденциальном порядке будут фиксироваться Департаментом внутреннего контроля и аудита АО «Элемент» для последующего анализа и проверки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446E1" w14:paraId="6FD64DCB" w14:textId="77777777" w:rsidTr="006F2B72"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9F11" w14:textId="77777777" w:rsidR="009446E1" w:rsidRDefault="009446E1" w:rsidP="006F2B72">
            <w:pPr>
              <w:tabs>
                <w:tab w:val="left" w:pos="643"/>
              </w:tabs>
              <w:snapToGrid w:val="0"/>
              <w:spacing w:before="120" w:after="120"/>
              <w:jc w:val="both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Инструкция по использованию Единой Горячей Линии</w:t>
            </w:r>
          </w:p>
          <w:p w14:paraId="095919F5" w14:textId="77777777" w:rsidR="009446E1" w:rsidRDefault="009446E1" w:rsidP="009446E1">
            <w:pPr>
              <w:numPr>
                <w:ilvl w:val="0"/>
                <w:numId w:val="1"/>
              </w:numPr>
              <w:tabs>
                <w:tab w:val="left" w:pos="589"/>
              </w:tabs>
              <w:snapToGrid w:val="0"/>
              <w:spacing w:before="120" w:after="120"/>
              <w:ind w:left="589" w:hanging="425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Указать организацию и ее подразделение / область деятельности, в которой произошло нарушение;</w:t>
            </w:r>
          </w:p>
          <w:p w14:paraId="3A458A1F" w14:textId="77777777" w:rsidR="009446E1" w:rsidRDefault="009446E1" w:rsidP="009446E1">
            <w:pPr>
              <w:numPr>
                <w:ilvl w:val="0"/>
                <w:numId w:val="1"/>
              </w:numPr>
              <w:tabs>
                <w:tab w:val="left" w:pos="589"/>
              </w:tabs>
              <w:snapToGrid w:val="0"/>
              <w:spacing w:before="120" w:after="120"/>
              <w:ind w:left="589" w:hanging="425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Дать характеристику нарушения и указать известные вам факты;</w:t>
            </w:r>
          </w:p>
          <w:p w14:paraId="18D090FE" w14:textId="77777777" w:rsidR="009446E1" w:rsidRDefault="009446E1" w:rsidP="009446E1">
            <w:pPr>
              <w:numPr>
                <w:ilvl w:val="0"/>
                <w:numId w:val="1"/>
              </w:numPr>
              <w:tabs>
                <w:tab w:val="left" w:pos="589"/>
              </w:tabs>
              <w:snapToGrid w:val="0"/>
              <w:spacing w:before="120" w:after="120"/>
              <w:ind w:left="589" w:hanging="425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Указать оценку возможного ущерба, иную дополнительную информацию;</w:t>
            </w:r>
          </w:p>
          <w:p w14:paraId="14572FED" w14:textId="77777777" w:rsidR="009446E1" w:rsidRDefault="009446E1" w:rsidP="009446E1">
            <w:pPr>
              <w:numPr>
                <w:ilvl w:val="0"/>
                <w:numId w:val="1"/>
              </w:numPr>
              <w:tabs>
                <w:tab w:val="left" w:pos="589"/>
              </w:tabs>
              <w:snapToGrid w:val="0"/>
              <w:spacing w:before="120" w:after="120"/>
              <w:ind w:left="589" w:hanging="425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Указать ваше имя и контактные данные (по желанию). Автору сообщения гарантируется неразглашение персональных данных.</w:t>
            </w:r>
          </w:p>
        </w:tc>
      </w:tr>
    </w:tbl>
    <w:p w14:paraId="0B735584" w14:textId="77777777" w:rsidR="00C03198" w:rsidRDefault="00C03198"/>
    <w:sectPr w:rsidR="00C0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2AD"/>
    <w:multiLevelType w:val="multilevel"/>
    <w:tmpl w:val="00000000"/>
    <w:lvl w:ilvl="0">
      <w:start w:val="1"/>
      <w:numFmt w:val="decimal"/>
      <w:lvlText w:val="%1."/>
      <w:lvlJc w:val="left"/>
      <w:pPr>
        <w:ind w:left="180" w:hanging="360"/>
      </w:pPr>
      <w:rPr>
        <w:rFonts w:ascii="NanumGothic" w:hAnsi="NanumGothic" w:hint="default"/>
        <w:spacing w:val="0"/>
        <w:w w:val="100"/>
        <w:sz w:val="20"/>
      </w:rPr>
    </w:lvl>
    <w:lvl w:ilvl="1" w:tentative="1">
      <w:start w:val="1"/>
      <w:numFmt w:val="lowerLetter"/>
      <w:lvlText w:val="%2."/>
      <w:lvlJc w:val="left"/>
      <w:pPr>
        <w:ind w:left="1260" w:hanging="360"/>
      </w:pPr>
      <w:rPr>
        <w:rFonts w:ascii="NanumGothic" w:hAnsi="NanumGothic" w:hint="default"/>
        <w:spacing w:val="0"/>
        <w:w w:val="100"/>
        <w:sz w:val="20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ascii="NanumGothic" w:hAnsi="NanumGothic" w:hint="default"/>
        <w:spacing w:val="0"/>
        <w:w w:val="100"/>
        <w:sz w:val="20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ascii="NanumGothic" w:hAnsi="NanumGothic" w:hint="default"/>
        <w:spacing w:val="0"/>
        <w:w w:val="100"/>
        <w:sz w:val="20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ascii="NanumGothic" w:hAnsi="NanumGothic" w:hint="default"/>
        <w:spacing w:val="0"/>
        <w:w w:val="100"/>
        <w:sz w:val="20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ascii="NanumGothic" w:hAnsi="NanumGothic" w:hint="default"/>
        <w:spacing w:val="0"/>
        <w:w w:val="100"/>
        <w:sz w:val="20"/>
      </w:rPr>
    </w:lvl>
    <w:lvl w:ilvl="6" w:tentative="1">
      <w:start w:val="1"/>
      <w:numFmt w:val="decimal"/>
      <w:lvlText w:val="%7."/>
      <w:lvlJc w:val="left"/>
      <w:pPr>
        <w:ind w:left="4860" w:hanging="360"/>
      </w:pPr>
      <w:rPr>
        <w:rFonts w:ascii="NanumGothic" w:hAnsi="NanumGothic" w:hint="default"/>
        <w:spacing w:val="0"/>
        <w:w w:val="100"/>
        <w:sz w:val="20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ascii="NanumGothic" w:hAnsi="NanumGothic" w:hint="default"/>
        <w:spacing w:val="0"/>
        <w:w w:val="100"/>
        <w:sz w:val="20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ascii="NanumGothic" w:hAnsi="NanumGothic" w:hint="default"/>
        <w:spacing w:val="0"/>
        <w:w w:val="100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E1"/>
    <w:rsid w:val="009446E1"/>
    <w:rsid w:val="00C0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44BF"/>
  <w15:chartTrackingRefBased/>
  <w15:docId w15:val="{4CC999C6-F197-40B2-A02B-5798F1B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E1"/>
    <w:pPr>
      <w:spacing w:after="0" w:line="240" w:lineRule="auto"/>
    </w:pPr>
    <w:rPr>
      <w:rFonts w:ascii="NanumGothic" w:eastAsia="Times New Roman" w:hAnsi="NanumGothic" w:cs="NanumGothic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mentec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line@elemente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Юрьевич</dc:creator>
  <cp:keywords/>
  <dc:description/>
  <cp:lastModifiedBy>Кузнецов Виталий Юрьевич</cp:lastModifiedBy>
  <cp:revision>1</cp:revision>
  <dcterms:created xsi:type="dcterms:W3CDTF">2022-01-20T12:40:00Z</dcterms:created>
  <dcterms:modified xsi:type="dcterms:W3CDTF">2022-01-20T12:40:00Z</dcterms:modified>
</cp:coreProperties>
</file>