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1332" w14:textId="77777777" w:rsidR="007C74E1" w:rsidRDefault="007C74E1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</w:p>
    <w:p w14:paraId="43179A29" w14:textId="77777777" w:rsidR="007C74E1" w:rsidRDefault="007C74E1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p w14:paraId="66280A09" w14:textId="247F4F72" w:rsidR="00D410C3" w:rsidRPr="00AE435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ТЕХНИЧЕСКОЕ ЗАДАНИЕ</w:t>
      </w:r>
    </w:p>
    <w:p w14:paraId="67D3FE57" w14:textId="4D3EBD9A" w:rsidR="0065566F" w:rsidRPr="00AE4350" w:rsidRDefault="0065566F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на оказание услуг </w:t>
      </w:r>
      <w:r w:rsidR="00494F7A" w:rsidRPr="00AE4350">
        <w:rPr>
          <w:rFonts w:ascii="Verdana" w:hAnsi="Verdana"/>
          <w:lang w:val="ru-RU"/>
        </w:rPr>
        <w:t>по поставке программного решения в рамках проекта «Автоматизация процессов продаж и взаимодействия с дилерами»</w:t>
      </w:r>
    </w:p>
    <w:p w14:paraId="7AFC8BC4" w14:textId="0A9D41FD" w:rsidR="007C74E1" w:rsidRPr="00AE4350" w:rsidRDefault="007C74E1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p w14:paraId="4DF93703" w14:textId="11392ACD" w:rsidR="007C74E1" w:rsidRPr="00AE4350" w:rsidRDefault="007C74E1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p w14:paraId="592BC4A7" w14:textId="77777777" w:rsidR="007C74E1" w:rsidRPr="00AE4350" w:rsidRDefault="007C74E1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AE435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AE4350">
            <w:rPr>
              <w:rFonts w:ascii="Verdana" w:hAnsi="Verdana"/>
            </w:rPr>
            <w:fldChar w:fldCharType="begin"/>
          </w:r>
          <w:r w:rsidRPr="00AE4350">
            <w:rPr>
              <w:rFonts w:ascii="Verdana" w:hAnsi="Verdana"/>
            </w:rPr>
            <w:instrText xml:space="preserve"> TOC \o "1-2" \h \z \u </w:instrText>
          </w:r>
          <w:r w:rsidRPr="00AE435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AE4350">
              <w:rPr>
                <w:rStyle w:val="ad"/>
                <w:rFonts w:ascii="Verdana" w:hAnsi="Verdana"/>
              </w:rPr>
              <w:t>I.</w:t>
            </w:r>
            <w:r w:rsidR="00C46DEA" w:rsidRPr="00AE435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AE4350">
              <w:rPr>
                <w:rFonts w:ascii="Verdana" w:hAnsi="Verdana"/>
                <w:webHidden/>
              </w:rPr>
              <w:tab/>
            </w:r>
            <w:r w:rsidR="00C46DEA" w:rsidRPr="00AE4350">
              <w:rPr>
                <w:rFonts w:ascii="Verdana" w:hAnsi="Verdana"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AE4350">
              <w:rPr>
                <w:rFonts w:ascii="Verdana" w:hAnsi="Verdana"/>
                <w:webHidden/>
              </w:rPr>
            </w:r>
            <w:r w:rsidR="00C46DEA" w:rsidRPr="00AE4350">
              <w:rPr>
                <w:rFonts w:ascii="Verdana" w:hAnsi="Verdana"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webHidden/>
              </w:rPr>
              <w:t>2</w:t>
            </w:r>
            <w:r w:rsidR="00C46DEA" w:rsidRPr="00AE435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AE4350">
              <w:rPr>
                <w:rStyle w:val="ad"/>
                <w:rFonts w:ascii="Verdana" w:hAnsi="Verdana"/>
                <w:noProof/>
              </w:rPr>
              <w:t>1.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2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7660E9A4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AE4350">
              <w:rPr>
                <w:rStyle w:val="ad"/>
                <w:rFonts w:ascii="Verdana" w:hAnsi="Verdana"/>
                <w:noProof/>
              </w:rPr>
              <w:t>2.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494F7A" w:rsidRPr="00AE4350">
              <w:rPr>
                <w:rStyle w:val="ad"/>
                <w:rFonts w:ascii="Verdana" w:hAnsi="Verdana"/>
                <w:noProof/>
              </w:rPr>
              <w:t>компонентов услуг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2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AE4350">
              <w:rPr>
                <w:rStyle w:val="ad"/>
                <w:rFonts w:ascii="Verdana" w:hAnsi="Verdana"/>
                <w:noProof/>
              </w:rPr>
              <w:t>3.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2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AE4350">
              <w:rPr>
                <w:rStyle w:val="ad"/>
                <w:rFonts w:ascii="Verdana" w:hAnsi="Verdana"/>
                <w:noProof/>
              </w:rPr>
              <w:t>4.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2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AE435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3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AE4350" w:rsidRDefault="00AE435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AE4350">
              <w:rPr>
                <w:rStyle w:val="ad"/>
                <w:rFonts w:ascii="Verdana" w:hAnsi="Verdana"/>
                <w:noProof/>
              </w:rPr>
              <w:t>6.</w:t>
            </w:r>
            <w:r w:rsidR="00C46DEA" w:rsidRPr="00AE435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AE4350">
              <w:rPr>
                <w:rFonts w:ascii="Verdana" w:hAnsi="Verdana"/>
                <w:noProof/>
                <w:webHidden/>
              </w:rPr>
              <w:tab/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AE4350">
              <w:rPr>
                <w:rFonts w:ascii="Verdana" w:hAnsi="Verdana"/>
                <w:noProof/>
                <w:webHidden/>
              </w:rPr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noProof/>
                <w:webHidden/>
              </w:rPr>
              <w:t>4</w:t>
            </w:r>
            <w:r w:rsidR="00C46DEA" w:rsidRPr="00AE43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AE4350" w:rsidRDefault="00AE4350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AE4350">
              <w:rPr>
                <w:rStyle w:val="ad"/>
                <w:rFonts w:ascii="Verdana" w:hAnsi="Verdana"/>
              </w:rPr>
              <w:t>II.</w:t>
            </w:r>
            <w:r w:rsidR="00C46DEA" w:rsidRPr="00AE435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AE4350">
              <w:rPr>
                <w:rStyle w:val="ad"/>
                <w:rFonts w:ascii="Verdana" w:hAnsi="Verdana"/>
              </w:rPr>
              <w:t>Прило</w:t>
            </w:r>
            <w:r w:rsidR="00C46DEA" w:rsidRPr="00AE4350">
              <w:rPr>
                <w:rStyle w:val="ad"/>
                <w:rFonts w:ascii="Verdana" w:hAnsi="Verdana"/>
              </w:rPr>
              <w:t>ж</w:t>
            </w:r>
            <w:r w:rsidR="00C46DEA" w:rsidRPr="00AE4350">
              <w:rPr>
                <w:rStyle w:val="ad"/>
                <w:rFonts w:ascii="Verdana" w:hAnsi="Verdana"/>
              </w:rPr>
              <w:t>ения</w:t>
            </w:r>
            <w:r w:rsidR="00C46DEA" w:rsidRPr="00AE4350">
              <w:rPr>
                <w:rFonts w:ascii="Verdana" w:hAnsi="Verdana"/>
                <w:webHidden/>
              </w:rPr>
              <w:tab/>
            </w:r>
            <w:r w:rsidR="00C46DEA" w:rsidRPr="00AE4350">
              <w:rPr>
                <w:rFonts w:ascii="Verdana" w:hAnsi="Verdana"/>
                <w:webHidden/>
              </w:rPr>
              <w:fldChar w:fldCharType="begin"/>
            </w:r>
            <w:r w:rsidR="00C46DEA" w:rsidRPr="00AE435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AE4350">
              <w:rPr>
                <w:rFonts w:ascii="Verdana" w:hAnsi="Verdana"/>
                <w:webHidden/>
              </w:rPr>
            </w:r>
            <w:r w:rsidR="00C46DEA" w:rsidRPr="00AE4350">
              <w:rPr>
                <w:rFonts w:ascii="Verdana" w:hAnsi="Verdana"/>
                <w:webHidden/>
              </w:rPr>
              <w:fldChar w:fldCharType="separate"/>
            </w:r>
            <w:r w:rsidR="00C46DEA" w:rsidRPr="00AE4350">
              <w:rPr>
                <w:rFonts w:ascii="Verdana" w:hAnsi="Verdana"/>
                <w:webHidden/>
              </w:rPr>
              <w:t>5</w:t>
            </w:r>
            <w:r w:rsidR="00C46DEA" w:rsidRPr="00AE435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AE435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AE435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AE435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AE4350">
        <w:rPr>
          <w:rFonts w:ascii="Verdana" w:hAnsi="Verdana"/>
          <w:lang w:val="ru-RU"/>
        </w:rPr>
        <w:br w:type="page"/>
      </w:r>
    </w:p>
    <w:p w14:paraId="20DF75E5" w14:textId="402E91D9" w:rsidR="00130983" w:rsidRPr="00AE435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AE435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494F7A" w:rsidRPr="00AE4350">
        <w:rPr>
          <w:rFonts w:ascii="Verdana" w:hAnsi="Verdana"/>
          <w:lang w:val="ru-RU"/>
        </w:rPr>
        <w:t xml:space="preserve"> </w:t>
      </w:r>
    </w:p>
    <w:p w14:paraId="68F3EA2D" w14:textId="77777777" w:rsidR="00EA3AF2" w:rsidRPr="00AE4350" w:rsidRDefault="00494F7A" w:rsidP="00494F7A">
      <w:pPr>
        <w:rPr>
          <w:lang w:val="ru-RU"/>
        </w:rPr>
      </w:pPr>
      <w:r w:rsidRPr="00AE4350">
        <w:rPr>
          <w:lang w:val="ru-RU"/>
        </w:rPr>
        <w:t xml:space="preserve">                   </w:t>
      </w:r>
    </w:p>
    <w:p w14:paraId="559DF677" w14:textId="7B82EE11" w:rsidR="00494F7A" w:rsidRPr="00AE4350" w:rsidRDefault="00494F7A" w:rsidP="00494F7A">
      <w:pPr>
        <w:rPr>
          <w:b/>
          <w:bCs/>
          <w:lang w:val="ru-RU"/>
        </w:rPr>
      </w:pPr>
      <w:r w:rsidRPr="00AE4350">
        <w:rPr>
          <w:lang w:val="ru-RU"/>
        </w:rPr>
        <w:t>Функциональные требования к программному продукту для решения задачи «</w:t>
      </w:r>
      <w:r w:rsidRPr="00AE4350">
        <w:rPr>
          <w:b/>
          <w:bCs/>
          <w:lang w:val="ru-RU"/>
        </w:rPr>
        <w:t>Автоматизация процессов продаж и взаимодействия с дилерами»</w:t>
      </w:r>
    </w:p>
    <w:p w14:paraId="308DB59A" w14:textId="5A14F0CF" w:rsidR="007351B1" w:rsidRPr="00AE4350" w:rsidRDefault="007351B1" w:rsidP="00494F7A">
      <w:pPr>
        <w:rPr>
          <w:lang w:val="en-US"/>
        </w:rPr>
      </w:pPr>
      <w:r w:rsidRPr="00AE4350">
        <w:rPr>
          <w:b/>
          <w:bCs/>
          <w:lang w:val="ru-RU"/>
        </w:rPr>
        <w:t>См. Приложение 1.</w:t>
      </w:r>
      <w:r w:rsidR="00B30664" w:rsidRPr="00AE4350">
        <w:rPr>
          <w:b/>
          <w:bCs/>
          <w:lang w:val="en-US"/>
        </w:rPr>
        <w:t xml:space="preserve"> </w:t>
      </w:r>
      <w:bookmarkStart w:id="21" w:name="_MON_1784729434"/>
      <w:bookmarkEnd w:id="21"/>
      <w:r w:rsidR="00B30664" w:rsidRPr="00AE4350">
        <w:rPr>
          <w:b/>
          <w:bCs/>
          <w:lang w:val="en-US"/>
        </w:rPr>
        <w:object w:dxaOrig="1508" w:dyaOrig="982" w14:anchorId="70671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48.9pt" o:ole="">
            <v:imagedata r:id="rId11" o:title=""/>
          </v:shape>
          <o:OLEObject Type="Embed" ProgID="Word.Document.12" ShapeID="_x0000_i1025" DrawAspect="Icon" ObjectID="_1785066352" r:id="rId12">
            <o:FieldCodes>\s</o:FieldCodes>
          </o:OLEObject>
        </w:object>
      </w:r>
    </w:p>
    <w:p w14:paraId="37BA8AEA" w14:textId="57E3413F" w:rsidR="00130983" w:rsidRPr="00AE435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3"/>
      <w:r w:rsidRPr="00AE4350">
        <w:rPr>
          <w:rFonts w:ascii="Verdana" w:hAnsi="Verdana"/>
        </w:rPr>
        <w:t>Общие положения</w:t>
      </w:r>
      <w:bookmarkEnd w:id="22"/>
    </w:p>
    <w:p w14:paraId="672DC307" w14:textId="6E790662" w:rsidR="00E249B8" w:rsidRPr="00AE435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1.1. </w:t>
      </w:r>
      <w:r w:rsidR="00BD2A42" w:rsidRPr="00AE4350">
        <w:rPr>
          <w:rFonts w:ascii="Verdana" w:hAnsi="Verdana"/>
          <w:lang w:val="ru-RU"/>
        </w:rPr>
        <w:t>Термины, используемые в настоящем</w:t>
      </w:r>
      <w:r w:rsidR="00881CA6" w:rsidRPr="00AE435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AE435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AE4350">
        <w:rPr>
          <w:rFonts w:ascii="Verdana" w:hAnsi="Verdana"/>
          <w:lang w:val="ru-RU"/>
        </w:rPr>
        <w:t>бщих условиях закупок (ОУЗ)</w:t>
      </w:r>
      <w:r w:rsidRPr="00AE435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AE4350">
        <w:rPr>
          <w:rFonts w:ascii="Verdana" w:hAnsi="Verdana"/>
        </w:rPr>
        <w:t>https</w:t>
      </w:r>
      <w:r w:rsidR="00D410C3" w:rsidRPr="00AE4350">
        <w:rPr>
          <w:rFonts w:ascii="Verdana" w:hAnsi="Verdana"/>
          <w:lang w:val="ru-RU"/>
        </w:rPr>
        <w:t>://</w:t>
      </w:r>
      <w:proofErr w:type="spellStart"/>
      <w:r w:rsidR="00D410C3" w:rsidRPr="00AE4350">
        <w:rPr>
          <w:rFonts w:ascii="Verdana" w:hAnsi="Verdana"/>
        </w:rPr>
        <w:t>agr</w:t>
      </w:r>
      <w:proofErr w:type="spellEnd"/>
      <w:r w:rsidR="00D410C3" w:rsidRPr="00AE4350">
        <w:rPr>
          <w:rFonts w:ascii="Verdana" w:hAnsi="Verdana"/>
          <w:lang w:val="ru-RU"/>
        </w:rPr>
        <w:t>.</w:t>
      </w:r>
      <w:proofErr w:type="spellStart"/>
      <w:r w:rsidR="00D410C3" w:rsidRPr="00AE4350">
        <w:rPr>
          <w:rFonts w:ascii="Verdana" w:hAnsi="Verdana"/>
        </w:rPr>
        <w:t>auto</w:t>
      </w:r>
      <w:proofErr w:type="spellEnd"/>
      <w:r w:rsidR="00D410C3" w:rsidRPr="00AE4350">
        <w:rPr>
          <w:rFonts w:ascii="Verdana" w:hAnsi="Verdana"/>
          <w:lang w:val="ru-RU"/>
        </w:rPr>
        <w:t>/</w:t>
      </w:r>
      <w:proofErr w:type="spellStart"/>
      <w:r w:rsidR="00D410C3" w:rsidRPr="00AE4350">
        <w:rPr>
          <w:rFonts w:ascii="Verdana" w:hAnsi="Verdana"/>
        </w:rPr>
        <w:t>purchase</w:t>
      </w:r>
      <w:proofErr w:type="spellEnd"/>
      <w:r w:rsidR="007063F0" w:rsidRPr="00AE4350">
        <w:rPr>
          <w:rFonts w:ascii="Verdana" w:hAnsi="Verdana"/>
          <w:lang w:val="ru-RU"/>
        </w:rPr>
        <w:t xml:space="preserve"> </w:t>
      </w:r>
      <w:r w:rsidRPr="00AE4350">
        <w:rPr>
          <w:rFonts w:ascii="Verdana" w:hAnsi="Verdana"/>
          <w:lang w:val="ru-RU"/>
        </w:rPr>
        <w:t>(далее – «Платформа»).</w:t>
      </w:r>
      <w:r w:rsidR="007B5F45" w:rsidRPr="00AE4350">
        <w:rPr>
          <w:rFonts w:ascii="Verdana" w:hAnsi="Verdana"/>
          <w:lang w:val="ru-RU"/>
        </w:rPr>
        <w:t xml:space="preserve"> </w:t>
      </w:r>
    </w:p>
    <w:p w14:paraId="244B91BB" w14:textId="119E3D0F" w:rsidR="00E249B8" w:rsidRPr="00AE435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AE435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1.2.</w:t>
      </w:r>
      <w:r w:rsidRPr="00AE4350">
        <w:rPr>
          <w:rFonts w:ascii="Verdana" w:hAnsi="Verdana"/>
          <w:b/>
          <w:lang w:val="ru-RU"/>
        </w:rPr>
        <w:t xml:space="preserve">Контактные данные </w:t>
      </w:r>
    </w:p>
    <w:p w14:paraId="16647E07" w14:textId="78892A89" w:rsidR="00B664D2" w:rsidRPr="00AE4350" w:rsidRDefault="00B664D2" w:rsidP="00AF191D">
      <w:pPr>
        <w:spacing w:after="0" w:line="240" w:lineRule="auto"/>
        <w:ind w:left="708"/>
        <w:rPr>
          <w:rFonts w:ascii="Verdana" w:hAnsi="Verdana"/>
          <w:lang w:val="ru-RU"/>
        </w:rPr>
      </w:pPr>
    </w:p>
    <w:p w14:paraId="1DB536A9" w14:textId="77777777" w:rsidR="00B84B74" w:rsidRPr="00AE4350" w:rsidRDefault="00B84B74" w:rsidP="00B84B74">
      <w:pPr>
        <w:pStyle w:val="aa"/>
        <w:rPr>
          <w:rFonts w:ascii="Verdana" w:hAnsi="Verdana"/>
          <w:color w:val="000000"/>
          <w:kern w:val="0"/>
          <w:lang w:val="ru-RU"/>
        </w:rPr>
      </w:pPr>
      <w:r w:rsidRPr="00AE4350">
        <w:rPr>
          <w:rFonts w:ascii="Verdana" w:hAnsi="Verdana"/>
          <w:color w:val="000000"/>
          <w:lang w:val="ru-RU"/>
        </w:rPr>
        <w:t>ООО «АГР», далее –Компания</w:t>
      </w:r>
    </w:p>
    <w:p w14:paraId="4BFEBCD9" w14:textId="77777777" w:rsidR="00B84B74" w:rsidRPr="00AE4350" w:rsidRDefault="00B84B74" w:rsidP="00B84B74">
      <w:pPr>
        <w:pStyle w:val="aa"/>
        <w:rPr>
          <w:rFonts w:ascii="Verdana" w:hAnsi="Verdana"/>
          <w:color w:val="000000"/>
          <w:lang w:val="ru-RU"/>
        </w:rPr>
      </w:pPr>
      <w:r w:rsidRPr="00AE4350">
        <w:rPr>
          <w:rFonts w:ascii="Verdana" w:hAnsi="Verdana"/>
          <w:color w:val="000000"/>
          <w:lang w:val="ru-RU"/>
        </w:rPr>
        <w:t>Кирилл Заграй</w:t>
      </w:r>
    </w:p>
    <w:p w14:paraId="069FA74E" w14:textId="6BC9D088" w:rsidR="00B84B74" w:rsidRPr="00AE4350" w:rsidRDefault="00B84B74" w:rsidP="00B84B74">
      <w:pPr>
        <w:pStyle w:val="aa"/>
        <w:rPr>
          <w:rFonts w:ascii="Verdana" w:hAnsi="Verdana"/>
          <w:color w:val="000000"/>
          <w:lang w:val="ru-RU"/>
        </w:rPr>
      </w:pPr>
      <w:r w:rsidRPr="00AE4350">
        <w:rPr>
          <w:rFonts w:ascii="Verdana" w:hAnsi="Verdana"/>
          <w:color w:val="000000"/>
          <w:lang w:val="ru-RU"/>
        </w:rPr>
        <w:t>Телефон +79153578415</w:t>
      </w:r>
    </w:p>
    <w:p w14:paraId="4131B9A3" w14:textId="78DA136A" w:rsidR="00B84B74" w:rsidRPr="00AE4350" w:rsidRDefault="00B84B74" w:rsidP="00B84B74">
      <w:pPr>
        <w:pStyle w:val="aa"/>
        <w:rPr>
          <w:rFonts w:ascii="Verdana" w:hAnsi="Verdana"/>
          <w:color w:val="000000"/>
          <w:lang w:val="ru-RU"/>
        </w:rPr>
      </w:pPr>
      <w:r w:rsidRPr="00AE4350">
        <w:rPr>
          <w:rFonts w:ascii="Verdana" w:hAnsi="Verdana"/>
          <w:color w:val="000000"/>
          <w:lang w:val="ru-RU"/>
        </w:rPr>
        <w:t xml:space="preserve">Эл. Почта: </w:t>
      </w:r>
      <w:proofErr w:type="spellStart"/>
      <w:r w:rsidRPr="00AE4350">
        <w:rPr>
          <w:rFonts w:ascii="Verdana" w:hAnsi="Verdana"/>
          <w:color w:val="000000"/>
          <w:lang w:val="en-US"/>
        </w:rPr>
        <w:t>kirill</w:t>
      </w:r>
      <w:proofErr w:type="spellEnd"/>
      <w:r w:rsidRPr="00AE4350">
        <w:rPr>
          <w:rFonts w:ascii="Verdana" w:hAnsi="Verdana"/>
          <w:color w:val="000000"/>
          <w:lang w:val="ru-RU"/>
        </w:rPr>
        <w:t>.</w:t>
      </w:r>
      <w:proofErr w:type="spellStart"/>
      <w:r w:rsidRPr="00AE4350">
        <w:rPr>
          <w:rFonts w:ascii="Verdana" w:hAnsi="Verdana"/>
          <w:color w:val="000000"/>
          <w:lang w:val="en-US"/>
        </w:rPr>
        <w:t>zagrai</w:t>
      </w:r>
      <w:proofErr w:type="spellEnd"/>
      <w:r w:rsidRPr="00AE4350">
        <w:rPr>
          <w:rFonts w:ascii="Verdana" w:hAnsi="Verdana"/>
          <w:color w:val="000000"/>
          <w:lang w:val="ru-RU"/>
        </w:rPr>
        <w:t>@</w:t>
      </w:r>
      <w:proofErr w:type="spellStart"/>
      <w:r w:rsidRPr="00AE4350">
        <w:rPr>
          <w:rFonts w:ascii="Verdana" w:hAnsi="Verdana"/>
          <w:color w:val="000000"/>
          <w:lang w:val="en-US"/>
        </w:rPr>
        <w:t>agr</w:t>
      </w:r>
      <w:proofErr w:type="spellEnd"/>
      <w:r w:rsidRPr="00AE4350">
        <w:rPr>
          <w:rFonts w:ascii="Verdana" w:hAnsi="Verdana"/>
          <w:color w:val="000000"/>
          <w:lang w:val="ru-RU"/>
        </w:rPr>
        <w:t>.</w:t>
      </w:r>
      <w:r w:rsidRPr="00AE4350">
        <w:rPr>
          <w:rFonts w:ascii="Verdana" w:hAnsi="Verdana"/>
          <w:color w:val="000000"/>
          <w:lang w:val="en-US"/>
        </w:rPr>
        <w:t>auto</w:t>
      </w:r>
    </w:p>
    <w:p w14:paraId="48D4EBC5" w14:textId="43BF4119" w:rsidR="00A618A7" w:rsidRPr="00AE4350" w:rsidRDefault="00A618A7" w:rsidP="003A6C17">
      <w:pPr>
        <w:spacing w:after="0" w:line="240" w:lineRule="auto"/>
        <w:rPr>
          <w:b/>
          <w:bCs/>
          <w:lang w:val="ru-RU"/>
        </w:rPr>
      </w:pPr>
    </w:p>
    <w:p w14:paraId="2F2FE983" w14:textId="77777777" w:rsidR="00B664D2" w:rsidRPr="00AE4350" w:rsidRDefault="00B664D2" w:rsidP="00AF191D">
      <w:pPr>
        <w:spacing w:after="0" w:line="240" w:lineRule="auto"/>
        <w:ind w:left="708"/>
        <w:rPr>
          <w:rFonts w:ascii="Verdana" w:hAnsi="Verdana"/>
          <w:lang w:val="ru-RU"/>
        </w:rPr>
      </w:pPr>
    </w:p>
    <w:p w14:paraId="26DDFC2D" w14:textId="31FF6E1C" w:rsidR="00F15009" w:rsidRPr="00AE435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1.</w:t>
      </w:r>
      <w:r w:rsidR="00881CA6" w:rsidRPr="00AE4350">
        <w:rPr>
          <w:rFonts w:ascii="Verdana" w:hAnsi="Verdana"/>
          <w:lang w:val="ru-RU"/>
        </w:rPr>
        <w:t>3</w:t>
      </w:r>
      <w:r w:rsidRPr="00AE4350">
        <w:rPr>
          <w:rFonts w:ascii="Verdana" w:hAnsi="Verdana"/>
          <w:lang w:val="ru-RU"/>
        </w:rPr>
        <w:t xml:space="preserve">. </w:t>
      </w:r>
      <w:r w:rsidR="00881CA6" w:rsidRPr="00AE435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AE4350">
        <w:rPr>
          <w:rFonts w:ascii="Verdana" w:hAnsi="Verdana"/>
          <w:lang w:val="ru-RU"/>
        </w:rPr>
        <w:t xml:space="preserve"> </w:t>
      </w:r>
    </w:p>
    <w:p w14:paraId="7D37F7EE" w14:textId="77777777" w:rsidR="003A6C17" w:rsidRPr="00AE4350" w:rsidRDefault="003A6C17" w:rsidP="003A6C17">
      <w:pPr>
        <w:spacing w:after="0" w:line="240" w:lineRule="auto"/>
        <w:ind w:left="709"/>
        <w:rPr>
          <w:rFonts w:ascii="Verdana" w:hAnsi="Verdana"/>
          <w:lang w:val="ru-RU"/>
        </w:rPr>
      </w:pPr>
    </w:p>
    <w:p w14:paraId="397DEF27" w14:textId="296AB1E9" w:rsidR="00A618A7" w:rsidRPr="00AE4350" w:rsidRDefault="003A6C17" w:rsidP="00EA3AF2">
      <w:pPr>
        <w:spacing w:after="0" w:line="240" w:lineRule="auto"/>
        <w:ind w:firstLine="709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Внедрение автоматизированной системы одного окна для работы с дилерами в режиме онлайн обмена информацией, по направлениям продажи автомобилей, продажи запчастей.</w:t>
      </w:r>
    </w:p>
    <w:p w14:paraId="7B3DA066" w14:textId="77777777" w:rsidR="00A618A7" w:rsidRPr="00AE4350" w:rsidRDefault="00A618A7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C5BB394" w:rsidR="00130983" w:rsidRPr="00AE4350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3" w:name="_Toc84854374"/>
      <w:bookmarkStart w:id="24" w:name="_Toc472351083"/>
      <w:bookmarkStart w:id="25" w:name="_Toc472412714"/>
      <w:bookmarkStart w:id="26" w:name="_Toc472412732"/>
      <w:bookmarkStart w:id="27" w:name="_Toc513111862"/>
      <w:bookmarkStart w:id="28" w:name="_Toc513193636"/>
      <w:bookmarkStart w:id="29" w:name="_Toc513193646"/>
      <w:bookmarkStart w:id="30" w:name="_Toc513193684"/>
      <w:bookmarkStart w:id="31" w:name="_Toc513220062"/>
      <w:bookmarkStart w:id="32" w:name="_Toc514681488"/>
      <w:bookmarkStart w:id="33" w:name="_Toc514681498"/>
      <w:bookmarkStart w:id="34" w:name="_Toc514681508"/>
      <w:bookmarkStart w:id="35" w:name="_Toc517901916"/>
      <w:bookmarkStart w:id="36" w:name="_Toc517901926"/>
      <w:bookmarkStart w:id="37" w:name="_Toc517901936"/>
      <w:bookmarkStart w:id="38" w:name="_Toc517902083"/>
      <w:bookmarkStart w:id="39" w:name="_Toc517902119"/>
      <w:bookmarkStart w:id="40" w:name="_Toc517902129"/>
      <w:bookmarkStart w:id="41" w:name="_Toc517902235"/>
      <w:bookmarkStart w:id="42" w:name="_Toc517902463"/>
      <w:bookmarkStart w:id="43" w:name="_Toc84854375"/>
      <w:bookmarkEnd w:id="23"/>
      <w:r w:rsidRPr="00AE4350">
        <w:rPr>
          <w:rFonts w:ascii="Verdana" w:hAnsi="Verdana"/>
        </w:rPr>
        <w:t>Описание</w:t>
      </w:r>
      <w:r w:rsidR="0043359F" w:rsidRPr="00AE4350">
        <w:rPr>
          <w:rFonts w:ascii="Verdana" w:hAnsi="Verdana"/>
        </w:rPr>
        <w:t xml:space="preserve"> </w:t>
      </w:r>
      <w:r w:rsidR="00494F7A" w:rsidRPr="00AE4350">
        <w:rPr>
          <w:rFonts w:ascii="Verdana" w:hAnsi="Verdana"/>
        </w:rPr>
        <w:t xml:space="preserve">компонентов </w:t>
      </w:r>
      <w:r w:rsidR="00130983" w:rsidRPr="00AE4350">
        <w:rPr>
          <w:rFonts w:ascii="Verdana" w:hAnsi="Verdana"/>
        </w:rPr>
        <w:t xml:space="preserve">услуг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5052083" w14:textId="3C6EDF09" w:rsidR="003A6C17" w:rsidRPr="00AE4350" w:rsidRDefault="003A6C17" w:rsidP="003A6C17">
      <w:pPr>
        <w:rPr>
          <w:lang w:val="ru-RU"/>
        </w:rPr>
      </w:pPr>
    </w:p>
    <w:p w14:paraId="046F1EA9" w14:textId="0036130F" w:rsidR="0058486A" w:rsidRPr="00AE4350" w:rsidRDefault="0058486A" w:rsidP="003A6C17">
      <w:pPr>
        <w:rPr>
          <w:lang w:val="ru-RU"/>
        </w:rPr>
      </w:pPr>
      <w:r w:rsidRPr="00AE4350">
        <w:rPr>
          <w:lang w:val="ru-RU"/>
        </w:rPr>
        <w:t>Программное обеспечение для автоматизации процесса продаж и взаимодействия с дилерами</w:t>
      </w:r>
    </w:p>
    <w:p w14:paraId="7D13DB31" w14:textId="4A1318F4" w:rsidR="00061BB7" w:rsidRPr="00AE4350" w:rsidRDefault="0043359F" w:rsidP="003A6C1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lastRenderedPageBreak/>
        <w:t xml:space="preserve">Перечень </w:t>
      </w:r>
      <w:r w:rsidR="007B5F45" w:rsidRPr="00AE4350">
        <w:rPr>
          <w:rFonts w:ascii="Verdana" w:hAnsi="Verdana"/>
          <w:lang w:val="ru-RU"/>
        </w:rPr>
        <w:t xml:space="preserve">и характеристики </w:t>
      </w:r>
      <w:r w:rsidR="00207AEF" w:rsidRPr="00AE4350">
        <w:rPr>
          <w:rFonts w:ascii="Verdana" w:hAnsi="Verdana"/>
          <w:lang w:val="ru-RU"/>
        </w:rPr>
        <w:t xml:space="preserve">услуг </w:t>
      </w:r>
    </w:p>
    <w:p w14:paraId="59B12939" w14:textId="1A72E47B" w:rsidR="003A6C17" w:rsidRPr="00AE4350" w:rsidRDefault="003A6C17" w:rsidP="003A6C17">
      <w:pPr>
        <w:pStyle w:val="2"/>
        <w:numPr>
          <w:ilvl w:val="0"/>
          <w:numId w:val="0"/>
        </w:numPr>
        <w:ind w:left="502"/>
      </w:pPr>
    </w:p>
    <w:p w14:paraId="6A8E85FC" w14:textId="2ECB7138" w:rsidR="00621E43" w:rsidRPr="00AE4350" w:rsidRDefault="00621E43" w:rsidP="00621E43">
      <w:p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         Поставка и разработка ПО для автоматизации процессов продаж и взаимодействия с дилерами</w:t>
      </w:r>
    </w:p>
    <w:p w14:paraId="44B404FF" w14:textId="77777777" w:rsidR="003A6C17" w:rsidRPr="00AE4350" w:rsidRDefault="003A6C17" w:rsidP="003A6C17">
      <w:pPr>
        <w:rPr>
          <w:lang w:val="ru-RU"/>
        </w:rPr>
      </w:pPr>
    </w:p>
    <w:p w14:paraId="3DC3EA27" w14:textId="2593764F" w:rsidR="003A6C17" w:rsidRPr="00AE4350" w:rsidRDefault="00061BB7" w:rsidP="003A6C1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Место оказания услуг </w:t>
      </w:r>
    </w:p>
    <w:p w14:paraId="252E8014" w14:textId="12B61E88" w:rsidR="003A6C17" w:rsidRPr="00AE4350" w:rsidRDefault="003A6C17" w:rsidP="003A6C1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6FBE14CE" w14:textId="4F9046F0" w:rsidR="003A6C17" w:rsidRPr="00AE4350" w:rsidRDefault="00EA3AF2" w:rsidP="003A6C17">
      <w:pPr>
        <w:spacing w:after="0" w:line="240" w:lineRule="auto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ООО «АГР» Москва, ул. Обручева, офис АГР.</w:t>
      </w:r>
    </w:p>
    <w:p w14:paraId="3E3A2DE0" w14:textId="77777777" w:rsidR="003A6C17" w:rsidRPr="00AE4350" w:rsidRDefault="003A6C17" w:rsidP="003A6C17">
      <w:pPr>
        <w:spacing w:after="0" w:line="240" w:lineRule="auto"/>
        <w:rPr>
          <w:rFonts w:ascii="Verdana" w:hAnsi="Verdana"/>
          <w:lang w:val="ru-RU"/>
        </w:rPr>
      </w:pPr>
    </w:p>
    <w:p w14:paraId="37DA2F1D" w14:textId="23858F36" w:rsidR="001C2F2A" w:rsidRPr="00AE4350" w:rsidRDefault="0043359F" w:rsidP="003A6C17">
      <w:pPr>
        <w:spacing w:after="0" w:line="240" w:lineRule="auto"/>
        <w:ind w:left="709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2.3. </w:t>
      </w:r>
      <w:bookmarkStart w:id="44" w:name="_Toc472351084"/>
      <w:bookmarkStart w:id="45" w:name="_Toc472412715"/>
      <w:bookmarkStart w:id="46" w:name="_Toc472412733"/>
      <w:bookmarkStart w:id="47" w:name="_Toc513111863"/>
      <w:bookmarkStart w:id="48" w:name="_Toc513193637"/>
      <w:bookmarkStart w:id="49" w:name="_Toc513193647"/>
      <w:bookmarkStart w:id="50" w:name="_Toc513193685"/>
      <w:bookmarkStart w:id="51" w:name="_Toc513220063"/>
      <w:bookmarkStart w:id="52" w:name="_Toc514681489"/>
      <w:bookmarkStart w:id="53" w:name="_Toc514681499"/>
      <w:bookmarkStart w:id="54" w:name="_Toc514681509"/>
      <w:bookmarkStart w:id="55" w:name="_Toc517901917"/>
      <w:bookmarkStart w:id="56" w:name="_Toc517901927"/>
      <w:bookmarkStart w:id="57" w:name="_Toc517901937"/>
      <w:bookmarkStart w:id="58" w:name="_Toc517902084"/>
      <w:bookmarkStart w:id="59" w:name="_Toc517902120"/>
      <w:bookmarkStart w:id="60" w:name="_Toc517902130"/>
      <w:bookmarkStart w:id="61" w:name="_Toc517902236"/>
      <w:bookmarkStart w:id="62" w:name="_Toc517902464"/>
      <w:r w:rsidRPr="00AE4350">
        <w:rPr>
          <w:rFonts w:ascii="Verdana" w:hAnsi="Verdana"/>
          <w:lang w:val="ru-RU"/>
        </w:rPr>
        <w:tab/>
      </w:r>
      <w:r w:rsidR="007B5F45" w:rsidRPr="00AE4350">
        <w:rPr>
          <w:rFonts w:ascii="Verdana" w:hAnsi="Verdana"/>
          <w:lang w:val="ru-RU"/>
        </w:rPr>
        <w:t xml:space="preserve">Сроки </w:t>
      </w:r>
      <w:r w:rsidR="001C2F2A" w:rsidRPr="00AE4350">
        <w:rPr>
          <w:rFonts w:ascii="Verdana" w:hAnsi="Verdana"/>
          <w:lang w:val="ru-RU"/>
        </w:rPr>
        <w:t xml:space="preserve">оказания услуг 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207FAE5" w14:textId="77777777" w:rsidR="003A6C17" w:rsidRPr="00AE4350" w:rsidRDefault="003A6C17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</w:p>
    <w:p w14:paraId="7F4F2C0F" w14:textId="47C0C73C" w:rsidR="003A6C17" w:rsidRPr="00AE4350" w:rsidRDefault="00621E43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Результат услуг к ноябрю 2024</w:t>
      </w:r>
    </w:p>
    <w:p w14:paraId="659E1D65" w14:textId="77777777" w:rsidR="003A6C17" w:rsidRPr="00AE4350" w:rsidRDefault="003A6C17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</w:p>
    <w:p w14:paraId="78AFA85E" w14:textId="41AB59BA" w:rsidR="00881CA6" w:rsidRPr="00AE435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2.4.  Обязанности Контрагента</w:t>
      </w:r>
    </w:p>
    <w:p w14:paraId="484CDD23" w14:textId="3A096D09" w:rsidR="00881CA6" w:rsidRPr="00AE4350" w:rsidRDefault="00881CA6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16A8B87B" w14:textId="40C1D5A2" w:rsidR="003A6C17" w:rsidRPr="00AE4350" w:rsidRDefault="003A6C17" w:rsidP="00EA3AF2">
      <w:pPr>
        <w:tabs>
          <w:tab w:val="left" w:pos="1276"/>
        </w:tabs>
        <w:spacing w:after="0" w:line="240" w:lineRule="auto"/>
        <w:ind w:left="142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Поставка и разработка ПО для автоматизации процессов продаж и взаимодействия с дилерами</w:t>
      </w:r>
    </w:p>
    <w:p w14:paraId="3A481BB2" w14:textId="560E9674" w:rsidR="0043359F" w:rsidRPr="00AE435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AE435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3" w:name="_Toc84854376"/>
      <w:bookmarkStart w:id="64" w:name="_Toc84854377"/>
      <w:bookmarkEnd w:id="63"/>
      <w:r w:rsidRPr="00AE4350">
        <w:rPr>
          <w:rFonts w:ascii="Verdana" w:hAnsi="Verdana"/>
        </w:rPr>
        <w:t>Срок действия Договора</w:t>
      </w:r>
      <w:bookmarkEnd w:id="64"/>
    </w:p>
    <w:p w14:paraId="0E3227E9" w14:textId="17FE0E40" w:rsidR="00AB77F7" w:rsidRPr="00AE4350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087570B0" w14:textId="75B47E12" w:rsidR="00621E43" w:rsidRPr="00AE4350" w:rsidRDefault="00621E43" w:rsidP="00AF191D">
      <w:pPr>
        <w:spacing w:after="0" w:line="240" w:lineRule="auto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ДО исполнения обязательств по договору</w:t>
      </w:r>
    </w:p>
    <w:p w14:paraId="72C6D63B" w14:textId="0EF1C559" w:rsidR="00EA5761" w:rsidRPr="00AE435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5" w:name="_Toc517902237"/>
      <w:bookmarkStart w:id="66" w:name="_Toc517903088"/>
      <w:bookmarkStart w:id="67" w:name="_Toc73017958"/>
      <w:bookmarkEnd w:id="65"/>
      <w:bookmarkEnd w:id="66"/>
      <w:bookmarkEnd w:id="67"/>
    </w:p>
    <w:p w14:paraId="38FCB730" w14:textId="77777777" w:rsidR="00E25A1B" w:rsidRPr="00AE435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8" w:name="_Toc472351086"/>
      <w:bookmarkStart w:id="69" w:name="_Toc472412717"/>
      <w:bookmarkStart w:id="70" w:name="_Toc472412735"/>
      <w:bookmarkStart w:id="71" w:name="_Toc513111865"/>
      <w:bookmarkStart w:id="72" w:name="_Toc513193640"/>
      <w:bookmarkStart w:id="73" w:name="_Toc513193650"/>
      <w:bookmarkStart w:id="74" w:name="_Toc513193688"/>
      <w:bookmarkStart w:id="75" w:name="_Toc513220066"/>
      <w:bookmarkStart w:id="76" w:name="_Toc514681492"/>
      <w:bookmarkStart w:id="77" w:name="_Toc514681502"/>
      <w:bookmarkStart w:id="78" w:name="_Toc514681512"/>
      <w:bookmarkStart w:id="79" w:name="_Toc517901920"/>
      <w:bookmarkStart w:id="80" w:name="_Toc517901930"/>
      <w:bookmarkStart w:id="81" w:name="_Toc517901940"/>
      <w:bookmarkStart w:id="82" w:name="_Toc517902087"/>
      <w:bookmarkStart w:id="83" w:name="_Toc517902123"/>
      <w:bookmarkStart w:id="84" w:name="_Toc517902133"/>
      <w:bookmarkStart w:id="85" w:name="_Toc517902240"/>
      <w:bookmarkStart w:id="86" w:name="_Toc517902467"/>
      <w:bookmarkStart w:id="87" w:name="_Toc84854378"/>
      <w:r w:rsidRPr="00AE4350">
        <w:rPr>
          <w:rFonts w:ascii="Verdana" w:hAnsi="Verdana"/>
        </w:rPr>
        <w:t>Интеллектуальная собственность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520C7BF0" w14:textId="77777777" w:rsidR="005152D8" w:rsidRPr="00AE435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AE435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AE4350">
        <w:rPr>
          <w:rFonts w:ascii="Verdana" w:hAnsi="Verdana"/>
          <w:lang w:val="ru-RU"/>
        </w:rPr>
        <w:t>Контрагента</w:t>
      </w:r>
      <w:r w:rsidRPr="00AE4350">
        <w:rPr>
          <w:rFonts w:ascii="Verdana" w:hAnsi="Verdana"/>
          <w:lang w:val="ru-RU"/>
        </w:rPr>
        <w:t xml:space="preserve"> ожидается создание</w:t>
      </w:r>
      <w:r w:rsidR="00731BCD" w:rsidRPr="00AE4350">
        <w:rPr>
          <w:rFonts w:ascii="Verdana" w:hAnsi="Verdana"/>
          <w:lang w:val="ru-RU"/>
        </w:rPr>
        <w:t>/передача</w:t>
      </w:r>
      <w:r w:rsidRPr="00AE435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59DC1FBC" w14:textId="1637B123" w:rsidR="00FF5A18" w:rsidRPr="00AE4350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AE4350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AE4350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AE4350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AE4350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2C44A2EA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694595BA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7C0361C5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1216296E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015C2331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203476BB" w:rsidR="00E25A1B" w:rsidRPr="00AE4350" w:rsidRDefault="0027295D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lang w:val="en-US"/>
              </w:rPr>
              <w:t>X</w:t>
            </w:r>
          </w:p>
        </w:tc>
      </w:tr>
      <w:tr w:rsidR="00E25A1B" w:rsidRPr="00AE4350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E25A1B" w:rsidRPr="00AE4350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5290EA47" w:rsidR="00E25A1B" w:rsidRPr="00AE4350" w:rsidRDefault="00E25A1B" w:rsidP="0027295D">
            <w:pPr>
              <w:pStyle w:val="TabelleFu"/>
              <w:suppressAutoHyphens/>
              <w:spacing w:line="240" w:lineRule="auto"/>
              <w:jc w:val="center"/>
              <w:rPr>
                <w:rFonts w:ascii="Verdana" w:hAnsi="Verdana"/>
                <w:lang w:val="en-US"/>
              </w:rPr>
            </w:pPr>
          </w:p>
        </w:tc>
      </w:tr>
    </w:tbl>
    <w:p w14:paraId="757EAA7A" w14:textId="77777777" w:rsidR="005152D8" w:rsidRPr="00AE435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0285CCD" w:rsidR="00C82515" w:rsidRPr="00AE4350" w:rsidRDefault="001E4D41" w:rsidP="00745BB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E4350">
        <w:rPr>
          <w:rFonts w:ascii="Verdana" w:hAnsi="Verdana"/>
          <w:lang w:val="ru-RU"/>
        </w:rPr>
        <w:t>В</w:t>
      </w:r>
      <w:r w:rsidR="00DA3045" w:rsidRPr="00AE4350">
        <w:rPr>
          <w:rFonts w:ascii="Verdana" w:hAnsi="Verdana"/>
          <w:lang w:val="ru-RU"/>
        </w:rPr>
        <w:t xml:space="preserve"> случа</w:t>
      </w:r>
      <w:r w:rsidRPr="00AE4350">
        <w:rPr>
          <w:rFonts w:ascii="Verdana" w:hAnsi="Verdana"/>
          <w:lang w:val="ru-RU"/>
        </w:rPr>
        <w:t xml:space="preserve">е передачи </w:t>
      </w:r>
      <w:r w:rsidR="00745BB3" w:rsidRPr="00AE4350">
        <w:rPr>
          <w:rFonts w:ascii="Verdana" w:hAnsi="Verdana"/>
          <w:lang w:val="ru-RU"/>
        </w:rPr>
        <w:t>Компанией</w:t>
      </w:r>
      <w:r w:rsidR="00731BCD" w:rsidRPr="00AE4350">
        <w:rPr>
          <w:rFonts w:ascii="Verdana" w:hAnsi="Verdana"/>
          <w:lang w:val="ru-RU"/>
        </w:rPr>
        <w:t xml:space="preserve"> </w:t>
      </w:r>
      <w:r w:rsidR="00C82515" w:rsidRPr="00AE4350">
        <w:rPr>
          <w:rFonts w:ascii="Verdana" w:hAnsi="Verdana"/>
          <w:lang w:val="ru-RU"/>
        </w:rPr>
        <w:t>прав на объекты интеллектуальной собственности</w:t>
      </w:r>
      <w:r w:rsidRPr="00AE4350">
        <w:rPr>
          <w:rFonts w:ascii="Verdana" w:hAnsi="Verdana"/>
          <w:lang w:val="ru-RU"/>
        </w:rPr>
        <w:t>, они</w:t>
      </w:r>
      <w:r w:rsidR="00C82515" w:rsidRPr="00AE4350">
        <w:rPr>
          <w:rFonts w:ascii="Verdana" w:hAnsi="Verdana"/>
          <w:lang w:val="ru-RU"/>
        </w:rPr>
        <w:t xml:space="preserve"> должны быть переданы </w:t>
      </w:r>
      <w:r w:rsidR="00745BB3" w:rsidRPr="00AE4350">
        <w:rPr>
          <w:rFonts w:ascii="Verdana" w:hAnsi="Verdana"/>
          <w:lang w:val="ru-RU"/>
        </w:rPr>
        <w:t>Компании</w:t>
      </w:r>
      <w:r w:rsidR="00731BCD" w:rsidRPr="00AE4350">
        <w:rPr>
          <w:rFonts w:ascii="Verdana" w:hAnsi="Verdana"/>
          <w:lang w:val="ru-RU"/>
        </w:rPr>
        <w:t xml:space="preserve"> </w:t>
      </w:r>
      <w:r w:rsidR="00C82515" w:rsidRPr="00AE4350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AE435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AE435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AE4350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AE4350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lastRenderedPageBreak/>
              <w:t>Передача прав</w:t>
            </w:r>
          </w:p>
          <w:p w14:paraId="07A34687" w14:textId="77777777" w:rsidR="00C82515" w:rsidRPr="00AE4350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AE4350" w14:paraId="374C6B4C" w14:textId="77777777" w:rsidTr="00275BE6">
        <w:trPr>
          <w:cantSplit/>
        </w:trPr>
        <w:tc>
          <w:tcPr>
            <w:tcW w:w="1644" w:type="pct"/>
          </w:tcPr>
          <w:p w14:paraId="7C0BFE69" w14:textId="77777777" w:rsidR="00505B6A" w:rsidRPr="00AE4350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AE4350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AE435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(</w:t>
            </w:r>
            <w:r w:rsidR="00B71441" w:rsidRPr="00AE4350">
              <w:rPr>
                <w:rFonts w:ascii="Verdana" w:hAnsi="Verdana"/>
                <w:lang w:val="ru-RU"/>
              </w:rPr>
              <w:t xml:space="preserve">бессрочно </w:t>
            </w:r>
            <w:r w:rsidRPr="00AE4350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AE435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AE4350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AE435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AE4350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6979A834" w:rsidR="00505B6A" w:rsidRPr="00AE4350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AE435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AE435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AE4350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AE435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AE435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AE435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AE435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AE4350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AE435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154C9DBF" w14:textId="2CD8B60A" w:rsidR="00505B6A" w:rsidRPr="00AE435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en-US"/>
              </w:rPr>
            </w:pPr>
            <w:r w:rsidRPr="00AE4350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3550ECD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AF314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" fillcolor="white [3212]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="00275BE6" w:rsidRPr="00AE4350">
              <w:rPr>
                <w:rFonts w:ascii="Verdana" w:hAnsi="Verdana"/>
                <w:lang w:val="en-US"/>
              </w:rPr>
              <w:t>[</w:t>
            </w:r>
          </w:p>
        </w:tc>
      </w:tr>
    </w:tbl>
    <w:p w14:paraId="76B74921" w14:textId="77777777" w:rsidR="00621E43" w:rsidRPr="00AE4350" w:rsidRDefault="00621E43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62245090" w14:textId="22670C3F" w:rsidR="00621E43" w:rsidRPr="00AE4350" w:rsidRDefault="00621E43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AE4350">
        <w:rPr>
          <w:rFonts w:ascii="Verdana" w:hAnsi="Verdana"/>
          <w:b/>
          <w:lang w:val="ru-RU"/>
        </w:rPr>
        <w:t>Объем прав – по договоренности сторон.</w:t>
      </w:r>
    </w:p>
    <w:p w14:paraId="6BDE2FDD" w14:textId="77777777" w:rsidR="00621E43" w:rsidRPr="00AE4350" w:rsidRDefault="00621E43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09BD2452" w14:textId="5E688C60" w:rsidR="00A74ED1" w:rsidRPr="00AE4350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AE4350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AE4350">
        <w:rPr>
          <w:rFonts w:ascii="Verdana" w:hAnsi="Verdana"/>
          <w:b/>
          <w:lang w:val="ru-RU"/>
        </w:rPr>
        <w:t>.</w:t>
      </w:r>
    </w:p>
    <w:p w14:paraId="6E6F150B" w14:textId="77777777" w:rsidR="00677618" w:rsidRPr="00AE435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AE435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8" w:name="_Toc472351087"/>
      <w:bookmarkStart w:id="89" w:name="_Toc472412718"/>
      <w:bookmarkStart w:id="90" w:name="_Toc472412736"/>
      <w:bookmarkStart w:id="91" w:name="_Toc513111866"/>
      <w:bookmarkStart w:id="92" w:name="_Toc513193641"/>
      <w:bookmarkStart w:id="93" w:name="_Toc513193651"/>
      <w:bookmarkStart w:id="94" w:name="_Toc513193689"/>
      <w:bookmarkStart w:id="95" w:name="_Toc513220067"/>
      <w:bookmarkStart w:id="96" w:name="_Toc514681493"/>
      <w:bookmarkStart w:id="97" w:name="_Toc514681503"/>
      <w:bookmarkStart w:id="98" w:name="_Toc514681513"/>
      <w:bookmarkStart w:id="99" w:name="_Toc517901921"/>
      <w:bookmarkStart w:id="100" w:name="_Toc517901931"/>
      <w:bookmarkStart w:id="101" w:name="_Toc517901941"/>
      <w:bookmarkStart w:id="102" w:name="_Toc517902088"/>
      <w:bookmarkStart w:id="103" w:name="_Toc517902124"/>
      <w:bookmarkStart w:id="104" w:name="_Toc517902134"/>
      <w:bookmarkStart w:id="105" w:name="_Toc517902241"/>
      <w:bookmarkStart w:id="106" w:name="_Toc517902468"/>
      <w:bookmarkStart w:id="107" w:name="_Toc84854379"/>
      <w:r w:rsidRPr="00AE4350">
        <w:rPr>
          <w:rFonts w:ascii="Verdana" w:hAnsi="Verdana"/>
        </w:rPr>
        <w:t>Персональные данные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18FEDE0" w14:textId="40868BA3" w:rsidR="00DE4081" w:rsidRPr="00AE435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AE4350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AE435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5777B455" w:rsidR="00DE4081" w:rsidRPr="00AE43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AE435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AE435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AE43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AE435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AE435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AE4350">
              <w:rPr>
                <w:rFonts w:ascii="Verdana" w:hAnsi="Verdana"/>
                <w:lang w:val="ru-RU"/>
              </w:rPr>
              <w:t xml:space="preserve">Компанией </w:t>
            </w: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AE4350">
              <w:rPr>
                <w:rFonts w:ascii="Verdana" w:hAnsi="Verdana"/>
                <w:lang w:val="ru-RU"/>
              </w:rPr>
              <w:t>Компании</w:t>
            </w: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11DFEF52" w:rsidR="00DE4081" w:rsidRPr="00AE4350" w:rsidRDefault="00621E43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AE4350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AE4350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AE435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AE4350">
              <w:rPr>
                <w:rFonts w:ascii="Verdana" w:hAnsi="Verdana"/>
                <w:lang w:val="ru-RU"/>
              </w:rPr>
              <w:t xml:space="preserve">Компании </w:t>
            </w: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AE4350">
              <w:rPr>
                <w:rFonts w:ascii="Verdana" w:hAnsi="Verdana"/>
                <w:lang w:val="ru-RU"/>
              </w:rPr>
              <w:t xml:space="preserve">Компании </w:t>
            </w:r>
            <w:r w:rsidRPr="00AE435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AE435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7B13BAE1" w14:textId="55F4CC6D" w:rsidR="00621E43" w:rsidRPr="00AE4350" w:rsidRDefault="00621E43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2B5350FC" w14:textId="77777777" w:rsidR="00621E43" w:rsidRPr="00AE4350" w:rsidRDefault="00621E43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EA5761" w:rsidRPr="00AE4350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EA5761" w:rsidRPr="00AE4350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56E4098D" w:rsidR="00EA5761" w:rsidRPr="00AE4350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AE4350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8A47C8" w:rsidRPr="00AE4350" w:rsidRDefault="008A47C8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AE4350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EA5761" w:rsidRPr="00AE4350" w:rsidRDefault="00EA5761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76EFCE07" w:rsidR="00EA5761" w:rsidRPr="00AE4350" w:rsidRDefault="00621E4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х</w:t>
            </w:r>
          </w:p>
        </w:tc>
      </w:tr>
      <w:tr w:rsidR="008A47C8" w:rsidRPr="00AE4350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7B5F7F3E" w14:textId="26017EC4" w:rsidR="008A47C8" w:rsidRPr="00AE4350" w:rsidRDefault="008A47C8" w:rsidP="008671EB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AE4350">
              <w:rPr>
                <w:rFonts w:ascii="Verdana" w:hAnsi="Verdana"/>
                <w:bCs/>
                <w:lang w:val="ru-RU"/>
              </w:rPr>
              <w:lastRenderedPageBreak/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52" w:type="pct"/>
          </w:tcPr>
          <w:p w14:paraId="19A165F0" w14:textId="0D102B9F" w:rsidR="008A47C8" w:rsidRPr="00AE4350" w:rsidRDefault="00621E4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>х</w:t>
            </w:r>
          </w:p>
        </w:tc>
      </w:tr>
      <w:tr w:rsidR="008A47C8" w:rsidRPr="00AE4350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AE4350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AE4350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AE4350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2EEB349A" w:rsidR="008A47C8" w:rsidRPr="00AE4350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AE4350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AE4350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AE4350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6A1B6847" w:rsidR="008A47C8" w:rsidRPr="00AE4350" w:rsidRDefault="00621E43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AE4350">
              <w:rPr>
                <w:rFonts w:ascii="Verdana" w:hAnsi="Verdana"/>
                <w:lang w:val="ru-RU"/>
              </w:rPr>
              <w:t xml:space="preserve">Доступ к ПД в ходе обеспечения </w:t>
            </w:r>
            <w:proofErr w:type="spellStart"/>
            <w:r w:rsidRPr="00AE4350">
              <w:rPr>
                <w:rFonts w:ascii="Verdana" w:hAnsi="Verdana"/>
                <w:lang w:val="ru-RU"/>
              </w:rPr>
              <w:t>работоспосозности</w:t>
            </w:r>
            <w:proofErr w:type="spellEnd"/>
            <w:r w:rsidRPr="00AE4350">
              <w:rPr>
                <w:rFonts w:ascii="Verdana" w:hAnsi="Verdana"/>
                <w:lang w:val="ru-RU"/>
              </w:rPr>
              <w:t xml:space="preserve"> и поддержки предоставляемого функционала ПО</w:t>
            </w:r>
          </w:p>
        </w:tc>
      </w:tr>
    </w:tbl>
    <w:p w14:paraId="0E16FADF" w14:textId="3555BF77" w:rsidR="00533A21" w:rsidRPr="00AE435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AE435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AE435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AE4350">
        <w:rPr>
          <w:rFonts w:ascii="Verdana" w:hAnsi="Verdana"/>
          <w:lang w:val="ru-RU"/>
        </w:rPr>
        <w:t xml:space="preserve">Компании </w:t>
      </w:r>
      <w:r w:rsidRPr="00AE435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AE435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AE435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8" w:name="_Toc84854380"/>
      <w:bookmarkStart w:id="109" w:name="_Toc398126287"/>
      <w:bookmarkStart w:id="110" w:name="_Toc481591508"/>
      <w:r w:rsidRPr="00AE4350">
        <w:rPr>
          <w:rFonts w:ascii="Verdana" w:hAnsi="Verdana"/>
        </w:rPr>
        <w:t>Отчетность</w:t>
      </w:r>
      <w:bookmarkEnd w:id="108"/>
      <w:r w:rsidR="005E28AD" w:rsidRPr="00AE4350">
        <w:rPr>
          <w:rFonts w:ascii="Verdana" w:hAnsi="Verdana"/>
        </w:rPr>
        <w:t xml:space="preserve"> </w:t>
      </w:r>
      <w:bookmarkEnd w:id="109"/>
      <w:bookmarkEnd w:id="110"/>
    </w:p>
    <w:p w14:paraId="5B537B02" w14:textId="77777777" w:rsidR="00677618" w:rsidRPr="00AE435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6F99748" w14:textId="183C8D9E" w:rsidR="00383467" w:rsidRPr="00AE4350" w:rsidRDefault="00DC0CB5" w:rsidP="00745BB3">
      <w:pPr>
        <w:spacing w:after="0" w:line="240" w:lineRule="auto"/>
        <w:ind w:left="709"/>
        <w:rPr>
          <w:rFonts w:ascii="Verdana" w:hAnsi="Verdana"/>
          <w:i/>
          <w:iCs/>
          <w:lang w:val="ru-RU"/>
        </w:rPr>
      </w:pPr>
      <w:r w:rsidRPr="00AE4350">
        <w:rPr>
          <w:rFonts w:ascii="Verdana" w:hAnsi="Verdana"/>
          <w:i/>
          <w:iCs/>
          <w:lang w:val="ru-RU"/>
        </w:rPr>
        <w:t>Контрагент</w:t>
      </w:r>
      <w:r w:rsidR="00383467" w:rsidRPr="00AE4350">
        <w:rPr>
          <w:rFonts w:ascii="Verdana" w:hAnsi="Verdana"/>
          <w:i/>
          <w:iCs/>
          <w:lang w:val="ru-RU"/>
        </w:rPr>
        <w:t xml:space="preserve"> обязан подготавливать и предоставлять </w:t>
      </w:r>
      <w:r w:rsidR="00745BB3" w:rsidRPr="00AE4350">
        <w:rPr>
          <w:rFonts w:ascii="Verdana" w:hAnsi="Verdana"/>
          <w:i/>
          <w:iCs/>
          <w:lang w:val="ru-RU"/>
        </w:rPr>
        <w:t>Компании</w:t>
      </w:r>
      <w:r w:rsidR="00745BB3" w:rsidRPr="00AE4350">
        <w:rPr>
          <w:rFonts w:ascii="Verdana" w:hAnsi="Verdana"/>
          <w:lang w:val="ru-RU"/>
        </w:rPr>
        <w:t xml:space="preserve"> </w:t>
      </w:r>
      <w:r w:rsidR="00383467" w:rsidRPr="00AE4350">
        <w:rPr>
          <w:rFonts w:ascii="Verdana" w:hAnsi="Verdana"/>
          <w:i/>
          <w:iCs/>
          <w:lang w:val="ru-RU"/>
        </w:rPr>
        <w:t>отчеты об оказанных услугах / выполненных работах</w:t>
      </w:r>
      <w:r w:rsidR="00383467" w:rsidRPr="00AE4350">
        <w:rPr>
          <w:rFonts w:ascii="Verdana" w:hAnsi="Verdana"/>
          <w:i/>
          <w:iCs/>
          <w:color w:val="0070C0"/>
          <w:lang w:val="ru-RU"/>
        </w:rPr>
        <w:t xml:space="preserve"> ежемесячно (за календарный месяц), </w:t>
      </w:r>
    </w:p>
    <w:p w14:paraId="48A14A36" w14:textId="2C104E8F" w:rsidR="003D0A9D" w:rsidRPr="00AE4350" w:rsidRDefault="00383467" w:rsidP="0027295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AE4350">
        <w:rPr>
          <w:rFonts w:ascii="Verdana" w:hAnsi="Verdana"/>
          <w:i/>
          <w:iCs/>
          <w:lang w:val="ru-RU"/>
        </w:rPr>
        <w:t xml:space="preserve">Отчеты предоставляются </w:t>
      </w:r>
      <w:r w:rsidRPr="00AE4350">
        <w:rPr>
          <w:rFonts w:ascii="Verdana" w:hAnsi="Verdana"/>
          <w:i/>
          <w:iCs/>
          <w:color w:val="0070C0"/>
          <w:lang w:val="ru-RU"/>
        </w:rPr>
        <w:t xml:space="preserve">на русском </w:t>
      </w:r>
      <w:r w:rsidRPr="00AE4350">
        <w:rPr>
          <w:rFonts w:ascii="Verdana" w:hAnsi="Verdana"/>
          <w:i/>
          <w:iCs/>
          <w:lang w:val="ru-RU"/>
        </w:rPr>
        <w:t xml:space="preserve">в электронной форме по электронной почте на адрес </w:t>
      </w:r>
      <w:r w:rsidR="00745BB3" w:rsidRPr="00AE4350">
        <w:rPr>
          <w:rFonts w:ascii="Verdana" w:hAnsi="Verdana"/>
          <w:i/>
          <w:iCs/>
          <w:lang w:val="ru-RU"/>
        </w:rPr>
        <w:t xml:space="preserve">Компании </w:t>
      </w:r>
      <w:r w:rsidRPr="00AE4350">
        <w:rPr>
          <w:rFonts w:ascii="Verdana" w:hAnsi="Verdana"/>
          <w:i/>
          <w:iCs/>
          <w:lang w:val="ru-RU"/>
        </w:rPr>
        <w:t>в заранее оговоренном с последним формате</w:t>
      </w:r>
      <w:bookmarkStart w:id="111" w:name="_Toc84854381"/>
      <w:bookmarkEnd w:id="111"/>
      <w:r w:rsidR="0027295D" w:rsidRPr="00AE4350">
        <w:rPr>
          <w:rFonts w:ascii="Verdana" w:hAnsi="Verdana"/>
          <w:i/>
          <w:iCs/>
          <w:lang w:val="ru-RU"/>
        </w:rPr>
        <w:t>.</w:t>
      </w:r>
    </w:p>
    <w:p w14:paraId="1C75B8B0" w14:textId="77777777" w:rsidR="00494F7A" w:rsidRPr="00AE4350" w:rsidRDefault="00494F7A" w:rsidP="00494F7A">
      <w:pPr>
        <w:rPr>
          <w:lang w:val="ru-RU"/>
        </w:rPr>
      </w:pPr>
    </w:p>
    <w:p w14:paraId="6EA8D8D9" w14:textId="17EE2DC2" w:rsidR="003D0A9D" w:rsidRPr="00AE4350" w:rsidRDefault="003D0A9D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AE4350">
        <w:rPr>
          <w:rFonts w:ascii="Verdana" w:hAnsi="Verdana"/>
          <w:lang w:val="ru-RU"/>
        </w:rPr>
        <w:t>1.</w:t>
      </w:r>
      <w:r w:rsidRPr="00AE4350">
        <w:rPr>
          <w:rFonts w:ascii="Verdana" w:hAnsi="Verdana"/>
          <w:lang w:val="ru-RU"/>
        </w:rPr>
        <w:tab/>
      </w:r>
      <w:r w:rsidR="00494F7A" w:rsidRPr="00AE4350">
        <w:rPr>
          <w:rFonts w:ascii="Verdana" w:hAnsi="Verdana"/>
          <w:lang w:val="ru-RU"/>
        </w:rPr>
        <w:t>Функциональные требования в поставляемому программному продукту.</w:t>
      </w:r>
      <w:r w:rsidRPr="00AE4350">
        <w:rPr>
          <w:rFonts w:ascii="Verdana" w:hAnsi="Verdana"/>
          <w:lang w:val="ru-RU"/>
        </w:rPr>
        <w:t xml:space="preserve"> </w:t>
      </w:r>
    </w:p>
    <w:p w14:paraId="5E93F7DD" w14:textId="06083638" w:rsidR="003D0A9D" w:rsidRPr="00FF4EC0" w:rsidRDefault="003D0A9D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AE4350">
        <w:rPr>
          <w:rFonts w:ascii="Verdana" w:hAnsi="Verdana"/>
          <w:iCs/>
          <w:lang w:val="ru-RU"/>
        </w:rPr>
        <w:t>2.</w:t>
      </w:r>
      <w:r w:rsidRPr="00AE4350">
        <w:rPr>
          <w:rFonts w:ascii="Verdana" w:hAnsi="Verdana"/>
          <w:i/>
          <w:iCs/>
          <w:color w:val="0070C0"/>
          <w:lang w:val="ru-RU"/>
        </w:rPr>
        <w:tab/>
      </w:r>
      <w:r w:rsidR="00494F7A" w:rsidRPr="00AE4350">
        <w:rPr>
          <w:rFonts w:ascii="Verdana" w:hAnsi="Verdana"/>
          <w:lang w:val="ru-RU"/>
        </w:rPr>
        <w:t>Чек-лист опросник для проведения анкетирования участника конкурса</w:t>
      </w:r>
      <w:r w:rsidRPr="00FF4EC0">
        <w:rPr>
          <w:rFonts w:ascii="Verdana" w:hAnsi="Verdana"/>
          <w:lang w:val="ru-RU"/>
        </w:rPr>
        <w:t xml:space="preserve"> </w:t>
      </w:r>
    </w:p>
    <w:p w14:paraId="6D98BD03" w14:textId="562879F3" w:rsidR="003D0A9D" w:rsidRPr="00FF4EC0" w:rsidRDefault="003D0A9D" w:rsidP="00136E79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7C74E1">
      <w:headerReference w:type="default" r:id="rId13"/>
      <w:footerReference w:type="default" r:id="rId14"/>
      <w:headerReference w:type="first" r:id="rId15"/>
      <w:pgSz w:w="11906" w:h="16838" w:code="9"/>
      <w:pgMar w:top="-2977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338D" w14:textId="77777777" w:rsidR="005438E2" w:rsidRDefault="005438E2">
      <w:r>
        <w:separator/>
      </w:r>
    </w:p>
  </w:endnote>
  <w:endnote w:type="continuationSeparator" w:id="0">
    <w:p w14:paraId="3325820A" w14:textId="77777777" w:rsidR="005438E2" w:rsidRDefault="005438E2">
      <w:r>
        <w:continuationSeparator/>
      </w:r>
    </w:p>
  </w:endnote>
  <w:endnote w:type="continuationNotice" w:id="1">
    <w:p w14:paraId="66772BF5" w14:textId="77777777" w:rsidR="005438E2" w:rsidRDefault="00543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AE4350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01F889F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AE4350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3B5323" w:rsidRPr="00AE4350">
            <w:rPr>
              <w:rFonts w:ascii="Verdana" w:eastAsia="DengXian" w:hAnsi="Verdana" w:cs="Arial"/>
              <w:sz w:val="14"/>
              <w:szCs w:val="14"/>
              <w:lang w:val="ru-RU"/>
            </w:rPr>
            <w:t>общедоступно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5346B612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7C74E1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  <w:proofErr w:type="spellStart"/>
          <w:r w:rsidR="007C74E1">
            <w:rPr>
              <w:rFonts w:ascii="Verdana" w:eastAsia="DengXian" w:hAnsi="Verdana" w:cs="Arial"/>
              <w:sz w:val="14"/>
              <w:szCs w:val="14"/>
              <w:lang w:val="ru-RU"/>
            </w:rPr>
            <w:t>К.Заграй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FFB109E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E4350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E4350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BC4C9" w14:textId="77777777" w:rsidR="005438E2" w:rsidRDefault="005438E2">
      <w:r>
        <w:separator/>
      </w:r>
    </w:p>
  </w:footnote>
  <w:footnote w:type="continuationSeparator" w:id="0">
    <w:p w14:paraId="3A83A76C" w14:textId="77777777" w:rsidR="005438E2" w:rsidRDefault="005438E2">
      <w:r>
        <w:continuationSeparator/>
      </w:r>
    </w:p>
  </w:footnote>
  <w:footnote w:type="continuationNotice" w:id="1">
    <w:p w14:paraId="0221FCFD" w14:textId="77777777" w:rsidR="005438E2" w:rsidRDefault="00543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7C74E1">
      <w:trPr>
        <w:cantSplit/>
        <w:trHeight w:val="1263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720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16"/>
            <w:gridCol w:w="2004"/>
          </w:tblGrid>
          <w:tr w:rsidR="00936371" w:rsidRPr="00FF4EC0" w14:paraId="71E279F7" w14:textId="77777777" w:rsidTr="007C74E1">
            <w:trPr>
              <w:trHeight w:val="62"/>
              <w:jc w:val="right"/>
            </w:trPr>
            <w:tc>
              <w:tcPr>
                <w:tcW w:w="716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004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AE4350" w14:paraId="2DA64367" w14:textId="77777777" w:rsidTr="007C74E1">
            <w:trPr>
              <w:trHeight w:val="560"/>
              <w:jc w:val="right"/>
            </w:trPr>
            <w:tc>
              <w:tcPr>
                <w:tcW w:w="716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2004" w:type="dxa"/>
              </w:tcPr>
              <w:p w14:paraId="0589B6BF" w14:textId="58C6A1A5" w:rsidR="00936371" w:rsidRPr="00FF4EC0" w:rsidRDefault="007C74E1" w:rsidP="007C74E1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7C74E1">
                  <w:rPr>
                    <w:rFonts w:ascii="VWAG TheSans" w:hAnsi="VWAG TheSans"/>
                    <w:color w:val="34393B"/>
                    <w:sz w:val="23"/>
                    <w:szCs w:val="23"/>
                    <w:shd w:val="clear" w:color="auto" w:fill="FFFFFF"/>
                    <w:lang w:val="ru-RU"/>
                  </w:rPr>
                  <w:t>Отдел разработки, внедрения и развития систем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7C74E1">
            <w:trPr>
              <w:trHeight w:val="62"/>
              <w:jc w:val="right"/>
            </w:trPr>
            <w:tc>
              <w:tcPr>
                <w:tcW w:w="716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2004" w:type="dxa"/>
              </w:tcPr>
              <w:p w14:paraId="3047EBCE" w14:textId="20622F74" w:rsidR="00936371" w:rsidRPr="00FF4EC0" w:rsidRDefault="007C74E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AE4350">
                  <w:rPr>
                    <w:rFonts w:ascii="Verdana" w:hAnsi="Verdana"/>
                    <w:sz w:val="16"/>
                    <w:szCs w:val="16"/>
                    <w:lang w:val="ru-RU"/>
                  </w:rPr>
                  <w:t>13.08.2024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7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4F40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295D"/>
    <w:rsid w:val="00273260"/>
    <w:rsid w:val="0027390F"/>
    <w:rsid w:val="00275BE6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2B90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A6C17"/>
    <w:rsid w:val="003B5323"/>
    <w:rsid w:val="003B5F0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4F7A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438E2"/>
    <w:rsid w:val="005642C5"/>
    <w:rsid w:val="0056477D"/>
    <w:rsid w:val="00576313"/>
    <w:rsid w:val="0058486A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1E43"/>
    <w:rsid w:val="006242A3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351B1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C74E1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D3E41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1D7E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18A7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E4350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664"/>
    <w:rsid w:val="00B3084B"/>
    <w:rsid w:val="00B47915"/>
    <w:rsid w:val="00B515E5"/>
    <w:rsid w:val="00B57EB3"/>
    <w:rsid w:val="00B61CC8"/>
    <w:rsid w:val="00B664D2"/>
    <w:rsid w:val="00B66E07"/>
    <w:rsid w:val="00B67DCA"/>
    <w:rsid w:val="00B67FD1"/>
    <w:rsid w:val="00B71441"/>
    <w:rsid w:val="00B74639"/>
    <w:rsid w:val="00B763BB"/>
    <w:rsid w:val="00B76968"/>
    <w:rsid w:val="00B84B74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8FF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1EBF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3AF2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_________Microsoft_Word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B3BD2-F498-457C-A189-0DA23BAD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611</Words>
  <Characters>4883</Characters>
  <Application>Microsoft Office Word</Application>
  <DocSecurity>0</DocSecurity>
  <Lines>40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3</cp:revision>
  <cp:lastPrinted>2021-08-23T13:56:00Z</cp:lastPrinted>
  <dcterms:created xsi:type="dcterms:W3CDTF">2024-08-13T11:58:00Z</dcterms:created>
  <dcterms:modified xsi:type="dcterms:W3CDTF">2024-08-13T11:59:00Z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