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A071" w14:textId="77777777" w:rsidR="003100D3" w:rsidRPr="003100D3" w:rsidRDefault="003100D3" w:rsidP="003100D3">
      <w:pPr>
        <w:jc w:val="center"/>
      </w:pPr>
      <w:r w:rsidRPr="003100D3">
        <w:t>Техническое задание</w:t>
      </w:r>
    </w:p>
    <w:p w14:paraId="2AF7BEB5" w14:textId="77777777" w:rsidR="003100D3" w:rsidRPr="003100D3" w:rsidRDefault="003100D3" w:rsidP="003100D3">
      <w:pPr>
        <w:jc w:val="center"/>
      </w:pPr>
      <w:r w:rsidRPr="003100D3">
        <w:t>на поставку компьютерного оборудования</w:t>
      </w:r>
    </w:p>
    <w:p w14:paraId="7D5BED4F" w14:textId="77777777" w:rsidR="003100D3" w:rsidRPr="003100D3" w:rsidRDefault="003100D3" w:rsidP="003100D3">
      <w:pPr>
        <w:jc w:val="center"/>
      </w:pPr>
    </w:p>
    <w:p w14:paraId="4AABDB72" w14:textId="77777777" w:rsidR="003100D3" w:rsidRPr="003100D3" w:rsidRDefault="003100D3" w:rsidP="003100D3">
      <w:pPr>
        <w:numPr>
          <w:ilvl w:val="0"/>
          <w:numId w:val="1"/>
        </w:numPr>
        <w:contextualSpacing/>
        <w:jc w:val="center"/>
        <w:rPr>
          <w:b/>
          <w:bCs/>
        </w:rPr>
      </w:pPr>
      <w:r w:rsidRPr="003100D3">
        <w:rPr>
          <w:b/>
          <w:bCs/>
        </w:rPr>
        <w:t>ПРЕДМЕТ ДОГОВОРА</w:t>
      </w:r>
    </w:p>
    <w:p w14:paraId="3E0E860C" w14:textId="77777777" w:rsidR="003100D3" w:rsidRPr="003100D3" w:rsidRDefault="003100D3" w:rsidP="003100D3">
      <w:pPr>
        <w:ind w:left="720"/>
        <w:contextualSpacing/>
      </w:pPr>
    </w:p>
    <w:p w14:paraId="4E3947D6" w14:textId="743229D5" w:rsidR="003100D3" w:rsidRPr="003100D3" w:rsidRDefault="003100D3" w:rsidP="003100D3">
      <w:pPr>
        <w:numPr>
          <w:ilvl w:val="1"/>
          <w:numId w:val="1"/>
        </w:numPr>
        <w:contextualSpacing/>
      </w:pPr>
      <w:r w:rsidRPr="003100D3">
        <w:t xml:space="preserve"> Поставка </w:t>
      </w:r>
      <w:r w:rsidRPr="003100D3">
        <w:rPr>
          <w:lang w:val="en-US"/>
        </w:rPr>
        <w:t>x</w:t>
      </w:r>
      <w:r w:rsidRPr="003100D3">
        <w:t xml:space="preserve">-86 серверов </w:t>
      </w:r>
      <w:r w:rsidRPr="003100D3">
        <w:rPr>
          <w:highlight w:val="yellow"/>
        </w:rPr>
        <w:t>и системы управления</w:t>
      </w:r>
      <w:r w:rsidRPr="003100D3">
        <w:t xml:space="preserve"> в соответствии с техническим заданием, осуществляется в полном объеме в течение </w:t>
      </w:r>
      <w:r w:rsidRPr="003100D3">
        <w:t>срока,</w:t>
      </w:r>
      <w:r w:rsidRPr="003100D3">
        <w:t xml:space="preserve"> указанного в ТЗ с момента заключения Сторонами Договора по адресу 117638, Москва, Одесская улица, 2.</w:t>
      </w:r>
    </w:p>
    <w:p w14:paraId="0685AF8B" w14:textId="77777777" w:rsidR="003100D3" w:rsidRPr="003100D3" w:rsidRDefault="003100D3" w:rsidP="003100D3">
      <w:pPr>
        <w:ind w:left="720"/>
        <w:contextualSpacing/>
        <w:jc w:val="both"/>
      </w:pPr>
      <w:r w:rsidRPr="003100D3">
        <w:t>Поставка осуществляется Исполнителем самостоятельно и за свой счёт.</w:t>
      </w:r>
    </w:p>
    <w:p w14:paraId="51AC0FF5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>Финальная стоимость должна быть предоставлена с учётом НДС.</w:t>
      </w:r>
    </w:p>
    <w:p w14:paraId="50ED0724" w14:textId="5CC7B370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 xml:space="preserve">Поставка Товара должна быть осуществлена в течение </w:t>
      </w:r>
      <w:r w:rsidRPr="003100D3">
        <w:t>срока,</w:t>
      </w:r>
      <w:r w:rsidRPr="003100D3">
        <w:t xml:space="preserve"> указанного в ТЗ с даты заключения Договора. </w:t>
      </w:r>
    </w:p>
    <w:p w14:paraId="3037C174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 xml:space="preserve">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2022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66053CA8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 xml:space="preserve">Поставляемый Товар должен соответствовать техническому заданию. </w:t>
      </w:r>
    </w:p>
    <w:p w14:paraId="71F4D7BD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>Товар должен поставляться вместе с комплектом товаросопроводительной документации и должен быть четко маркирован.</w:t>
      </w:r>
    </w:p>
    <w:p w14:paraId="59055E47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>Гарантийный срок на поставляемые товары должен быть не менее 36 месяцев.</w:t>
      </w:r>
    </w:p>
    <w:p w14:paraId="3DFEA3EF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</w:pPr>
      <w:r w:rsidRPr="003100D3"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6CE3CF01" w14:textId="77777777" w:rsidR="003100D3" w:rsidRPr="003100D3" w:rsidRDefault="003100D3" w:rsidP="003100D3">
      <w:pPr>
        <w:jc w:val="both"/>
      </w:pPr>
    </w:p>
    <w:p w14:paraId="5FD78802" w14:textId="77777777" w:rsidR="003100D3" w:rsidRPr="003100D3" w:rsidRDefault="003100D3" w:rsidP="003100D3">
      <w:pPr>
        <w:numPr>
          <w:ilvl w:val="0"/>
          <w:numId w:val="1"/>
        </w:numPr>
        <w:contextualSpacing/>
        <w:jc w:val="center"/>
        <w:rPr>
          <w:b/>
          <w:bCs/>
        </w:rPr>
      </w:pPr>
      <w:bookmarkStart w:id="0" w:name="_GoBack"/>
      <w:bookmarkEnd w:id="0"/>
      <w:r w:rsidRPr="003100D3">
        <w:rPr>
          <w:b/>
          <w:bCs/>
        </w:rPr>
        <w:t>ТРЕБОВАНИЯ К ОБЪЕКТУ ЗАКУПКИ</w:t>
      </w:r>
    </w:p>
    <w:p w14:paraId="6A89AF88" w14:textId="77777777" w:rsidR="003100D3" w:rsidRPr="003100D3" w:rsidRDefault="003100D3" w:rsidP="003100D3">
      <w:pPr>
        <w:ind w:left="720"/>
        <w:contextualSpacing/>
        <w:jc w:val="both"/>
        <w:rPr>
          <w:b/>
          <w:bCs/>
        </w:rPr>
      </w:pPr>
    </w:p>
    <w:p w14:paraId="3F1FE972" w14:textId="77777777" w:rsidR="003100D3" w:rsidRPr="003100D3" w:rsidRDefault="003100D3" w:rsidP="003100D3">
      <w:pPr>
        <w:numPr>
          <w:ilvl w:val="1"/>
          <w:numId w:val="1"/>
        </w:numPr>
        <w:contextualSpacing/>
        <w:jc w:val="both"/>
        <w:rPr>
          <w:b/>
          <w:bCs/>
        </w:rPr>
      </w:pPr>
      <w:r w:rsidRPr="003100D3">
        <w:t>Наименование, основные характеристики и количество поставляемого оборудования:</w:t>
      </w:r>
    </w:p>
    <w:p w14:paraId="464B899D" w14:textId="77777777" w:rsidR="003100D3" w:rsidRPr="003100D3" w:rsidRDefault="003100D3" w:rsidP="003100D3">
      <w:pPr>
        <w:numPr>
          <w:ilvl w:val="2"/>
          <w:numId w:val="1"/>
        </w:numPr>
        <w:contextualSpacing/>
        <w:jc w:val="both"/>
      </w:pPr>
      <w:r w:rsidRPr="003100D3">
        <w:t xml:space="preserve">Серверы </w:t>
      </w:r>
      <w:r w:rsidRPr="003100D3">
        <w:rPr>
          <w:lang w:val="en-US"/>
        </w:rPr>
        <w:t>x</w:t>
      </w:r>
      <w:r w:rsidRPr="003100D3">
        <w:t>86 с технической поддержкой:</w:t>
      </w:r>
    </w:p>
    <w:p w14:paraId="5AEB25A6" w14:textId="77777777" w:rsidR="003100D3" w:rsidRPr="003100D3" w:rsidRDefault="003100D3" w:rsidP="003100D3">
      <w:pPr>
        <w:ind w:left="720"/>
        <w:jc w:val="both"/>
      </w:pPr>
      <w:r w:rsidRPr="003100D3">
        <w:t xml:space="preserve">Вариант 1: Серверы </w:t>
      </w:r>
      <w:r w:rsidRPr="003100D3">
        <w:rPr>
          <w:lang w:val="en-US"/>
        </w:rPr>
        <w:t>x</w:t>
      </w:r>
      <w:r w:rsidRPr="003100D3">
        <w:t xml:space="preserve">86 с технической поддержкой </w:t>
      </w:r>
      <w:r w:rsidRPr="003100D3">
        <w:rPr>
          <w:lang w:val="en-US"/>
        </w:rPr>
        <w:t>NBD</w:t>
      </w:r>
      <w:r w:rsidRPr="003100D3">
        <w:t xml:space="preserve"> 3 года (срок поставки 14 календарных дней с даты подписания Договора):</w:t>
      </w:r>
    </w:p>
    <w:tbl>
      <w:tblPr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232"/>
        <w:gridCol w:w="675"/>
      </w:tblGrid>
      <w:tr w:rsidR="003100D3" w:rsidRPr="003100D3" w14:paraId="0EA8D478" w14:textId="77777777" w:rsidTr="005E2E78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470" w14:textId="77777777" w:rsidR="003100D3" w:rsidRPr="003100D3" w:rsidRDefault="003100D3" w:rsidP="003100D3">
            <w:pPr>
              <w:jc w:val="both"/>
            </w:pPr>
            <w:r w:rsidRPr="003100D3">
              <w:t>№ п/п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C14" w14:textId="77777777" w:rsidR="003100D3" w:rsidRPr="003100D3" w:rsidRDefault="003100D3" w:rsidP="003100D3">
            <w:pPr>
              <w:jc w:val="both"/>
            </w:pPr>
            <w:r w:rsidRPr="003100D3">
              <w:t>Наименование Комплекта Товара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85F" w14:textId="77777777" w:rsidR="003100D3" w:rsidRPr="003100D3" w:rsidRDefault="003100D3" w:rsidP="003100D3">
            <w:pPr>
              <w:jc w:val="both"/>
            </w:pPr>
            <w:r w:rsidRPr="003100D3">
              <w:t>Кол-во (шт.)</w:t>
            </w:r>
          </w:p>
        </w:tc>
      </w:tr>
      <w:tr w:rsidR="003100D3" w:rsidRPr="003100D3" w14:paraId="074EEF63" w14:textId="77777777" w:rsidTr="005E2E78">
        <w:trPr>
          <w:trHeight w:val="35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CA9" w14:textId="77777777" w:rsidR="003100D3" w:rsidRPr="003100D3" w:rsidRDefault="003100D3" w:rsidP="003100D3">
            <w:pPr>
              <w:jc w:val="center"/>
            </w:pPr>
            <w:r w:rsidRPr="003100D3">
              <w:t>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850" w14:textId="77777777" w:rsidR="003100D3" w:rsidRPr="003100D3" w:rsidRDefault="003100D3" w:rsidP="003100D3">
            <w:pPr>
              <w:jc w:val="center"/>
            </w:pPr>
            <w:r w:rsidRPr="003100D3"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27F" w14:textId="77777777" w:rsidR="003100D3" w:rsidRPr="003100D3" w:rsidRDefault="003100D3" w:rsidP="003100D3">
            <w:pPr>
              <w:jc w:val="center"/>
            </w:pPr>
            <w:r w:rsidRPr="003100D3">
              <w:t>3</w:t>
            </w:r>
          </w:p>
        </w:tc>
      </w:tr>
      <w:tr w:rsidR="003100D3" w:rsidRPr="003100D3" w14:paraId="7E15AD8D" w14:textId="77777777" w:rsidTr="005E2E78">
        <w:trPr>
          <w:trHeight w:val="7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55FE" w14:textId="77777777" w:rsidR="003100D3" w:rsidRPr="003100D3" w:rsidRDefault="003100D3" w:rsidP="003100D3">
            <w:pPr>
              <w:jc w:val="both"/>
            </w:pPr>
            <w:r w:rsidRPr="003100D3">
              <w:lastRenderedPageBreak/>
              <w:t>1.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F7D8" w14:textId="77777777" w:rsidR="003100D3" w:rsidRPr="003100D3" w:rsidRDefault="003100D3" w:rsidP="003100D3">
            <w:pPr>
              <w:jc w:val="both"/>
            </w:pPr>
          </w:p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451"/>
            </w:tblGrid>
            <w:tr w:rsidR="003100D3" w:rsidRPr="003100D3" w14:paraId="7331605E" w14:textId="77777777" w:rsidTr="005E2E78">
              <w:trPr>
                <w:trHeight w:val="240"/>
              </w:trPr>
              <w:tc>
                <w:tcPr>
                  <w:tcW w:w="7699" w:type="dxa"/>
                  <w:gridSpan w:val="2"/>
                  <w:shd w:val="clear" w:color="auto" w:fill="auto"/>
                </w:tcPr>
                <w:p w14:paraId="73D5FBFF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t>Сервер</w:t>
                  </w:r>
                  <w:r w:rsidRPr="003100D3">
                    <w:rPr>
                      <w:lang w:val="en-US"/>
                    </w:rPr>
                    <w:t xml:space="preserve"> x86 1U/2U</w:t>
                  </w:r>
                </w:p>
              </w:tc>
            </w:tr>
            <w:tr w:rsidR="003100D3" w:rsidRPr="003100D3" w14:paraId="6B0394BB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484AE45E" w14:textId="77777777" w:rsidR="003100D3" w:rsidRPr="003100D3" w:rsidRDefault="003100D3" w:rsidP="003100D3">
                  <w:pPr>
                    <w:jc w:val="both"/>
                  </w:pPr>
                </w:p>
                <w:p w14:paraId="7C27CB7A" w14:textId="77777777" w:rsidR="003100D3" w:rsidRPr="003100D3" w:rsidRDefault="003100D3" w:rsidP="003100D3">
                  <w:pPr>
                    <w:jc w:val="both"/>
                  </w:pPr>
                  <w:r w:rsidRPr="003100D3">
                    <w:t>Наименование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1DB605A7" w14:textId="77777777" w:rsidR="003100D3" w:rsidRPr="003100D3" w:rsidRDefault="003100D3" w:rsidP="003100D3">
                  <w:pPr>
                    <w:jc w:val="both"/>
                  </w:pPr>
                  <w:r w:rsidRPr="003100D3">
                    <w:t xml:space="preserve">Количество </w:t>
                  </w:r>
                </w:p>
              </w:tc>
            </w:tr>
            <w:tr w:rsidR="003100D3" w:rsidRPr="003100D3" w14:paraId="43A0B505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036DCB90" w14:textId="77777777" w:rsidR="003100D3" w:rsidRPr="003100D3" w:rsidRDefault="003100D3" w:rsidP="003100D3">
                  <w:pPr>
                    <w:jc w:val="both"/>
                  </w:pPr>
                  <w:r w:rsidRPr="003100D3">
                    <w:t>Производитель шасси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26271015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Dell / HP / Lenovo / Huawei / X-Fusion</w:t>
                  </w:r>
                </w:p>
              </w:tc>
            </w:tr>
            <w:tr w:rsidR="003100D3" w:rsidRPr="003100D3" w14:paraId="5E14715E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74D4DEC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Server chassis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BB306B0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20D3D471" w14:textId="77777777" w:rsidTr="005E2E78">
              <w:trPr>
                <w:trHeight w:val="7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14DFE69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No Trusted Platform Module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825E520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78E5EE99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7989C864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2.5" Chassis with up to 8 Hard Drives (SAS/SATA), 3 </w:t>
                  </w: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PCIe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Slots, 2 CPU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5D9A043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4A04C5D8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7FF4FA1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 Very High Performance Fans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89EAAA2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477E52FE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426C3C4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E30F6F1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163D0011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442B323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DDF2FE4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76E69A11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D385588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Heatsink for 2 CPU configuration (CPU more than 165W)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5361594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1853D74B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7B16D13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64GB RDIMM, 3200MT/s, Dual Rank, 16Gb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CB21EC9" w14:textId="77777777" w:rsidR="003100D3" w:rsidRPr="003100D3" w:rsidRDefault="003100D3" w:rsidP="003100D3">
                  <w:pPr>
                    <w:jc w:val="both"/>
                  </w:pPr>
                  <w:r w:rsidRPr="003100D3">
                    <w:t>24</w:t>
                  </w:r>
                </w:p>
              </w:tc>
            </w:tr>
            <w:tr w:rsidR="003100D3" w:rsidRPr="003100D3" w14:paraId="0824D16C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63771CA7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Front PERC H745 Front Load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6B932CA6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28792606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782CC1E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BOSS-S2 controller card + with 2 M.2 240GB (RAID 1)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FDD50FF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32875CFD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4AB4706C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iDRAC9, Enterprise 15G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749BA93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356BDF97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E07299C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Broadcom 57414 Dual Port 10/25GbE SFP28, OCP NIC 3.0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3D3F507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2</w:t>
                  </w:r>
                </w:p>
              </w:tc>
            </w:tr>
            <w:tr w:rsidR="003100D3" w:rsidRPr="003100D3" w14:paraId="24D2BB6E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66D79BA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SFP28 SR Optic, 25GbE, 85C, for all SFP28 ports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0E38E31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3100D3" w:rsidRPr="003100D3" w14:paraId="5CD830C0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436D2555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QLogic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2772 Dual Port 32Gb </w:t>
                  </w: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Fibre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Channel HBA, </w:t>
                  </w: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PCIe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Low Profile, V2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D3DF476" w14:textId="77777777" w:rsidR="003100D3" w:rsidRPr="003100D3" w:rsidRDefault="003100D3" w:rsidP="003100D3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3100D3" w:rsidRPr="003100D3" w14:paraId="109B6E2A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CD32671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Dual, Hot-plug, Power Supply Fault Tolerant Redundant (1+1), 1400W, Mixed Mode, NAF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7B769E14" w14:textId="77777777" w:rsidR="003100D3" w:rsidRPr="003100D3" w:rsidRDefault="003100D3" w:rsidP="003100D3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3100D3" w:rsidRPr="003100D3" w14:paraId="3F3EB85B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35DDEF57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ReadyRails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Static Rails for 2/4-post Racks Without Cable Management Arm or Strain Relief Bar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1E33AB48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7296C5C9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43354AC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оптический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MM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OM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4)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Duplex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5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0442D9E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3100D3" w:rsidRPr="003100D3" w14:paraId="145E8D17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1D2EA37D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Патчкорд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оптический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MM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OM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4)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Duplex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10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142A271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3100D3" w:rsidRPr="003100D3" w14:paraId="5D755F0C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0A575C23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00D3">
                    <w:rPr>
                      <w:color w:val="000000"/>
                      <w:lang w:eastAsia="ru-RU"/>
                    </w:rPr>
                    <w:t xml:space="preserve">SK-SP28-MMF32-FC-85-1L-D (Модуль оптический SFP+, MMF, 32G/s, 850 </w:t>
                  </w:r>
                  <w:proofErr w:type="spellStart"/>
                  <w:r w:rsidRPr="003100D3">
                    <w:rPr>
                      <w:color w:val="000000"/>
                      <w:lang w:eastAsia="ru-RU"/>
                    </w:rPr>
                    <w:t>nm</w:t>
                  </w:r>
                  <w:proofErr w:type="spellEnd"/>
                  <w:r w:rsidRPr="003100D3">
                    <w:rPr>
                      <w:color w:val="000000"/>
                      <w:lang w:eastAsia="ru-RU"/>
                    </w:rPr>
                    <w:t>, 100 m, DDM)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547667B5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3100D3" w:rsidRPr="003100D3" w14:paraId="7547C3A3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7ACC3675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00D3">
                    <w:t>Сертификат на невозврат накопителей, 3 года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07522450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004FDF9C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5D29355B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00D3">
                    <w:t xml:space="preserve">Сертификат на техническую поддержку, 3 года, </w:t>
                  </w:r>
                  <w:r w:rsidRPr="003100D3">
                    <w:rPr>
                      <w:lang w:val="en-US"/>
                    </w:rPr>
                    <w:t>NBD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10F0C8B1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4B8014F9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134204B8" w14:textId="77777777" w:rsidR="003100D3" w:rsidRPr="003100D3" w:rsidRDefault="003100D3" w:rsidP="003100D3">
                  <w:pPr>
                    <w:jc w:val="both"/>
                  </w:pPr>
                  <w:r w:rsidRPr="003100D3">
                    <w:t>Гарантийный срок не менее 12 месяцев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66BBBE4A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</w:tbl>
          <w:p w14:paraId="0BB17CB0" w14:textId="77777777" w:rsidR="003100D3" w:rsidRPr="003100D3" w:rsidRDefault="003100D3" w:rsidP="003100D3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1274" w14:textId="77777777" w:rsidR="003100D3" w:rsidRPr="003100D3" w:rsidRDefault="003100D3" w:rsidP="003100D3">
            <w:pPr>
              <w:jc w:val="both"/>
              <w:rPr>
                <w:lang w:val="en-US"/>
              </w:rPr>
            </w:pPr>
            <w:r w:rsidRPr="003100D3">
              <w:lastRenderedPageBreak/>
              <w:t>1</w:t>
            </w:r>
            <w:r w:rsidRPr="003100D3">
              <w:rPr>
                <w:lang w:val="en-US"/>
              </w:rPr>
              <w:t>7</w:t>
            </w:r>
          </w:p>
        </w:tc>
      </w:tr>
    </w:tbl>
    <w:p w14:paraId="20AFEA05" w14:textId="77777777" w:rsidR="003100D3" w:rsidRPr="003100D3" w:rsidRDefault="003100D3" w:rsidP="003100D3">
      <w:pPr>
        <w:ind w:left="720"/>
        <w:contextualSpacing/>
      </w:pPr>
    </w:p>
    <w:p w14:paraId="17B17598" w14:textId="77777777" w:rsidR="003100D3" w:rsidRPr="003100D3" w:rsidRDefault="003100D3" w:rsidP="003100D3">
      <w:r w:rsidRPr="003100D3">
        <w:br w:type="page"/>
      </w:r>
    </w:p>
    <w:p w14:paraId="0DF90F67" w14:textId="77777777" w:rsidR="003100D3" w:rsidRPr="003100D3" w:rsidRDefault="003100D3" w:rsidP="003100D3">
      <w:pPr>
        <w:ind w:left="720"/>
        <w:jc w:val="both"/>
      </w:pPr>
      <w:r w:rsidRPr="003100D3">
        <w:lastRenderedPageBreak/>
        <w:t xml:space="preserve">Вариант 2: Серверы </w:t>
      </w:r>
      <w:r w:rsidRPr="003100D3">
        <w:rPr>
          <w:lang w:val="en-US"/>
        </w:rPr>
        <w:t>x</w:t>
      </w:r>
      <w:r w:rsidRPr="003100D3">
        <w:t xml:space="preserve">86 с технической поддержкой </w:t>
      </w:r>
      <w:r w:rsidRPr="003100D3">
        <w:rPr>
          <w:lang w:val="en-US"/>
        </w:rPr>
        <w:t>NBD</w:t>
      </w:r>
      <w:r w:rsidRPr="003100D3">
        <w:t xml:space="preserve"> 3 года (срок поставки 60 календарных дней с момента подписания Договора):</w:t>
      </w:r>
    </w:p>
    <w:tbl>
      <w:tblPr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232"/>
        <w:gridCol w:w="675"/>
      </w:tblGrid>
      <w:tr w:rsidR="003100D3" w:rsidRPr="003100D3" w14:paraId="045BAB11" w14:textId="77777777" w:rsidTr="005E2E78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B53" w14:textId="77777777" w:rsidR="003100D3" w:rsidRPr="003100D3" w:rsidRDefault="003100D3" w:rsidP="003100D3">
            <w:pPr>
              <w:jc w:val="both"/>
            </w:pPr>
            <w:r w:rsidRPr="003100D3">
              <w:t>№ п/п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EE1" w14:textId="77777777" w:rsidR="003100D3" w:rsidRPr="003100D3" w:rsidRDefault="003100D3" w:rsidP="003100D3">
            <w:pPr>
              <w:jc w:val="both"/>
            </w:pPr>
            <w:r w:rsidRPr="003100D3">
              <w:t>Наименование Комплекта Товара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9B67" w14:textId="77777777" w:rsidR="003100D3" w:rsidRPr="003100D3" w:rsidRDefault="003100D3" w:rsidP="003100D3">
            <w:pPr>
              <w:jc w:val="both"/>
            </w:pPr>
            <w:r w:rsidRPr="003100D3">
              <w:t>Кол-во (шт.)</w:t>
            </w:r>
          </w:p>
        </w:tc>
      </w:tr>
      <w:tr w:rsidR="003100D3" w:rsidRPr="003100D3" w14:paraId="62515432" w14:textId="77777777" w:rsidTr="005E2E78">
        <w:trPr>
          <w:trHeight w:val="35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D30" w14:textId="77777777" w:rsidR="003100D3" w:rsidRPr="003100D3" w:rsidRDefault="003100D3" w:rsidP="003100D3">
            <w:pPr>
              <w:jc w:val="center"/>
            </w:pPr>
            <w:r w:rsidRPr="003100D3">
              <w:t>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540" w14:textId="77777777" w:rsidR="003100D3" w:rsidRPr="003100D3" w:rsidRDefault="003100D3" w:rsidP="003100D3">
            <w:pPr>
              <w:jc w:val="center"/>
            </w:pPr>
            <w:r w:rsidRPr="003100D3"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7C8" w14:textId="77777777" w:rsidR="003100D3" w:rsidRPr="003100D3" w:rsidRDefault="003100D3" w:rsidP="003100D3">
            <w:pPr>
              <w:jc w:val="center"/>
            </w:pPr>
            <w:r w:rsidRPr="003100D3">
              <w:t>3</w:t>
            </w:r>
          </w:p>
        </w:tc>
      </w:tr>
      <w:tr w:rsidR="003100D3" w:rsidRPr="003100D3" w14:paraId="0E4B3AED" w14:textId="77777777" w:rsidTr="005E2E78">
        <w:trPr>
          <w:trHeight w:val="7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FB9F" w14:textId="77777777" w:rsidR="003100D3" w:rsidRPr="003100D3" w:rsidRDefault="003100D3" w:rsidP="003100D3">
            <w:pPr>
              <w:jc w:val="both"/>
            </w:pPr>
            <w:r w:rsidRPr="003100D3">
              <w:t>1.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ED75" w14:textId="77777777" w:rsidR="003100D3" w:rsidRPr="003100D3" w:rsidRDefault="003100D3" w:rsidP="003100D3">
            <w:pPr>
              <w:jc w:val="both"/>
            </w:pPr>
          </w:p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451"/>
            </w:tblGrid>
            <w:tr w:rsidR="003100D3" w:rsidRPr="003100D3" w14:paraId="44248530" w14:textId="77777777" w:rsidTr="005E2E78">
              <w:trPr>
                <w:trHeight w:val="240"/>
              </w:trPr>
              <w:tc>
                <w:tcPr>
                  <w:tcW w:w="7699" w:type="dxa"/>
                  <w:gridSpan w:val="2"/>
                  <w:shd w:val="clear" w:color="auto" w:fill="auto"/>
                </w:tcPr>
                <w:p w14:paraId="44CE9485" w14:textId="77777777" w:rsidR="003100D3" w:rsidRPr="003100D3" w:rsidRDefault="003100D3" w:rsidP="003100D3">
                  <w:pPr>
                    <w:jc w:val="both"/>
                  </w:pPr>
                  <w:r w:rsidRPr="003100D3">
                    <w:t>Сервер</w:t>
                  </w:r>
                  <w:r w:rsidRPr="003100D3">
                    <w:rPr>
                      <w:lang w:val="en-US"/>
                    </w:rPr>
                    <w:t xml:space="preserve"> x86 1U/2U</w:t>
                  </w:r>
                </w:p>
              </w:tc>
            </w:tr>
            <w:tr w:rsidR="003100D3" w:rsidRPr="003100D3" w14:paraId="67209609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4816583B" w14:textId="77777777" w:rsidR="003100D3" w:rsidRPr="003100D3" w:rsidRDefault="003100D3" w:rsidP="003100D3">
                  <w:pPr>
                    <w:jc w:val="both"/>
                  </w:pPr>
                </w:p>
                <w:p w14:paraId="1C43A873" w14:textId="77777777" w:rsidR="003100D3" w:rsidRPr="003100D3" w:rsidRDefault="003100D3" w:rsidP="003100D3">
                  <w:pPr>
                    <w:jc w:val="both"/>
                  </w:pPr>
                  <w:r w:rsidRPr="003100D3">
                    <w:t>Наименование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6AA21586" w14:textId="77777777" w:rsidR="003100D3" w:rsidRPr="003100D3" w:rsidRDefault="003100D3" w:rsidP="003100D3">
                  <w:pPr>
                    <w:jc w:val="both"/>
                  </w:pPr>
                  <w:r w:rsidRPr="003100D3">
                    <w:t xml:space="preserve">Количество </w:t>
                  </w:r>
                </w:p>
              </w:tc>
            </w:tr>
            <w:tr w:rsidR="003100D3" w:rsidRPr="003100D3" w14:paraId="6F7E32D6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6828C7BC" w14:textId="77777777" w:rsidR="003100D3" w:rsidRPr="003100D3" w:rsidRDefault="003100D3" w:rsidP="003100D3">
                  <w:pPr>
                    <w:jc w:val="both"/>
                  </w:pPr>
                  <w:r w:rsidRPr="003100D3">
                    <w:t>Производитель шасси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7F8369C9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Dell / HP / Lenovo / Huawei / X-Fusion</w:t>
                  </w:r>
                </w:p>
              </w:tc>
            </w:tr>
            <w:tr w:rsidR="003100D3" w:rsidRPr="003100D3" w14:paraId="010CB370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7712E75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Server chassis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2C101BF1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486C03B8" w14:textId="77777777" w:rsidTr="005E2E78">
              <w:trPr>
                <w:trHeight w:val="7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F4C7CB8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No Trusted Platform Module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4597F0E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3E51B01B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72D77631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2.5" Chassis with up to 8 Hard Drives (SAS/SATA), 3 </w:t>
                  </w: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PCIe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Slots, 2 CPU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EDE3986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0238F744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EDDE143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 Very High Performance Fans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1179EEF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4E184F5D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E72A745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6F87F6EA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07E74544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5A99368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2588B07C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30F948B0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4E58E85E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Heatsink for 2 CPU configuration (CPU more than 165W)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3D72D7F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30BA0797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666662D3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64GB RDIMM, 3200MT/s, Dual Rank, 16Gb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0EA1F29" w14:textId="77777777" w:rsidR="003100D3" w:rsidRPr="003100D3" w:rsidRDefault="003100D3" w:rsidP="003100D3">
                  <w:pPr>
                    <w:jc w:val="both"/>
                  </w:pPr>
                  <w:r w:rsidRPr="003100D3">
                    <w:t>24</w:t>
                  </w:r>
                </w:p>
              </w:tc>
            </w:tr>
            <w:tr w:rsidR="003100D3" w:rsidRPr="003100D3" w14:paraId="4D858330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6BC1FF53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Front PERC H745 Front Load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C6D05D5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61955731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60694DE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BOSS-S2 controller card + with 2 M.2 240GB (RAID 1)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589C69E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546D8C7B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93ECAB1" w14:textId="77777777" w:rsidR="003100D3" w:rsidRPr="003100D3" w:rsidRDefault="003100D3" w:rsidP="003100D3">
                  <w:pPr>
                    <w:jc w:val="both"/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iDRAC9, Enterprise 15G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8F2C49D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5BDD0D44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9B33589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Broadcom 57414 Dual Port 10/25GbE SFP28, OCP NIC 3.0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B197CFF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2</w:t>
                  </w:r>
                </w:p>
              </w:tc>
            </w:tr>
            <w:tr w:rsidR="003100D3" w:rsidRPr="003100D3" w14:paraId="72C880D2" w14:textId="77777777" w:rsidTr="005E2E78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4A52C03F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SFP28 SR Optic, 25GbE, 85C, for all SFP28 ports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63A602DB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3100D3" w:rsidRPr="003100D3" w14:paraId="357B90CE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102DC65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QLogic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2772 Dual Port 32Gb </w:t>
                  </w: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Fibre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Channel HBA, </w:t>
                  </w: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PCIe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Low Profile, V2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5CDDBF2" w14:textId="77777777" w:rsidR="003100D3" w:rsidRPr="003100D3" w:rsidRDefault="003100D3" w:rsidP="003100D3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3100D3" w:rsidRPr="003100D3" w14:paraId="217087BD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06F0A06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lastRenderedPageBreak/>
                    <w:t>Dual, Hot-plug, Power Supply Fault Tolerant Redundant (1+1), 1400W, Mixed Mode, NAF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1EE06432" w14:textId="77777777" w:rsidR="003100D3" w:rsidRPr="003100D3" w:rsidRDefault="003100D3" w:rsidP="003100D3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3100D3" w:rsidRPr="003100D3" w14:paraId="184CBD8F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751432A0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ReadyRails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 xml:space="preserve"> Static Rails for 2/4-post Racks Without Cable Management Arm or Strain Relief Bar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2E72395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742AA9C9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5310D3CA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оптический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MM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OM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4)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Duplex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5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4799D91B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3100D3" w:rsidRPr="003100D3" w14:paraId="3596F317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23C08114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оптический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LC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UPC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MM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OM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4) 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Duplex</w:t>
                  </w:r>
                  <w:r w:rsidRPr="003100D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10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B2495E3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3100D3" w:rsidRPr="003100D3" w14:paraId="55481739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7AF89A16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00D3">
                    <w:rPr>
                      <w:color w:val="000000"/>
                      <w:lang w:eastAsia="ru-RU"/>
                    </w:rPr>
                    <w:t xml:space="preserve">SK-SP28-MMF32-FC-85-1L-D (Модуль оптический SFP+, MMF, 32G/s, 850 </w:t>
                  </w:r>
                  <w:proofErr w:type="spellStart"/>
                  <w:r w:rsidRPr="003100D3">
                    <w:rPr>
                      <w:color w:val="000000"/>
                      <w:lang w:eastAsia="ru-RU"/>
                    </w:rPr>
                    <w:t>nm</w:t>
                  </w:r>
                  <w:proofErr w:type="spellEnd"/>
                  <w:r w:rsidRPr="003100D3">
                    <w:rPr>
                      <w:color w:val="000000"/>
                      <w:lang w:eastAsia="ru-RU"/>
                    </w:rPr>
                    <w:t>, 100 m, DDM)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E3C2AF0" w14:textId="77777777" w:rsidR="003100D3" w:rsidRPr="003100D3" w:rsidRDefault="003100D3" w:rsidP="003100D3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3100D3" w:rsidRPr="003100D3" w14:paraId="0AE99E18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49AFBDF9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00D3">
                    <w:t>Сертификат на невозврат накопителей, 3 года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7617D23E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727F9C93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3F62C514" w14:textId="77777777" w:rsidR="003100D3" w:rsidRPr="003100D3" w:rsidRDefault="003100D3" w:rsidP="003100D3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100D3">
                    <w:t xml:space="preserve">Сертификат на техническую поддержку, 3 года, </w:t>
                  </w:r>
                  <w:r w:rsidRPr="003100D3">
                    <w:rPr>
                      <w:lang w:val="en-US"/>
                    </w:rPr>
                    <w:t>NBD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4B2F593F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3100D3" w:rsidRPr="003100D3" w14:paraId="1B3D81B8" w14:textId="77777777" w:rsidTr="005E2E78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24A6B9AD" w14:textId="77777777" w:rsidR="003100D3" w:rsidRPr="003100D3" w:rsidRDefault="003100D3" w:rsidP="003100D3">
                  <w:pPr>
                    <w:jc w:val="both"/>
                  </w:pPr>
                  <w:r w:rsidRPr="003100D3">
                    <w:t>Гарантийный срок не менее 12 месяцев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B2DE882" w14:textId="77777777" w:rsidR="003100D3" w:rsidRPr="003100D3" w:rsidRDefault="003100D3" w:rsidP="003100D3">
                  <w:pPr>
                    <w:jc w:val="both"/>
                  </w:pPr>
                  <w:r w:rsidRPr="003100D3">
                    <w:t>1</w:t>
                  </w:r>
                </w:p>
              </w:tc>
            </w:tr>
          </w:tbl>
          <w:p w14:paraId="21A6360E" w14:textId="77777777" w:rsidR="003100D3" w:rsidRPr="003100D3" w:rsidRDefault="003100D3" w:rsidP="003100D3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7222" w14:textId="77777777" w:rsidR="003100D3" w:rsidRPr="003100D3" w:rsidRDefault="003100D3" w:rsidP="003100D3">
            <w:pPr>
              <w:jc w:val="both"/>
              <w:rPr>
                <w:lang w:val="en-US"/>
              </w:rPr>
            </w:pPr>
            <w:r w:rsidRPr="003100D3">
              <w:lastRenderedPageBreak/>
              <w:t>1</w:t>
            </w:r>
            <w:r w:rsidRPr="003100D3">
              <w:rPr>
                <w:lang w:val="en-US"/>
              </w:rPr>
              <w:t>7</w:t>
            </w:r>
          </w:p>
        </w:tc>
      </w:tr>
    </w:tbl>
    <w:p w14:paraId="77204EE4" w14:textId="77777777" w:rsidR="003100D3" w:rsidRPr="003100D3" w:rsidRDefault="003100D3" w:rsidP="003100D3">
      <w:pPr>
        <w:ind w:left="720"/>
        <w:contextualSpacing/>
      </w:pPr>
    </w:p>
    <w:p w14:paraId="2D7F8065" w14:textId="77777777" w:rsidR="003100D3" w:rsidRPr="003100D3" w:rsidRDefault="003100D3" w:rsidP="003100D3">
      <w:pPr>
        <w:numPr>
          <w:ilvl w:val="1"/>
          <w:numId w:val="1"/>
        </w:numPr>
        <w:contextualSpacing/>
        <w:rPr>
          <w:highlight w:val="yellow"/>
        </w:rPr>
      </w:pPr>
      <w:r w:rsidRPr="003100D3">
        <w:rPr>
          <w:highlight w:val="yellow"/>
        </w:rPr>
        <w:t>Требования к системе управления серверами.</w:t>
      </w:r>
    </w:p>
    <w:p w14:paraId="0F6D72CB" w14:textId="77777777" w:rsidR="003100D3" w:rsidRPr="003100D3" w:rsidRDefault="003100D3" w:rsidP="003100D3">
      <w:pPr>
        <w:ind w:left="720"/>
        <w:contextualSpacing/>
        <w:rPr>
          <w:highlight w:val="yellow"/>
        </w:rPr>
      </w:pPr>
    </w:p>
    <w:p w14:paraId="74D98FE3" w14:textId="77777777" w:rsidR="003100D3" w:rsidRPr="003100D3" w:rsidRDefault="003100D3" w:rsidP="003100D3">
      <w:pPr>
        <w:ind w:left="720"/>
        <w:contextualSpacing/>
        <w:rPr>
          <w:highlight w:val="yellow"/>
        </w:rPr>
      </w:pPr>
      <w:r w:rsidRPr="003100D3">
        <w:rPr>
          <w:highlight w:val="yellow"/>
        </w:rPr>
        <w:t xml:space="preserve">Система должна осуществлять мониторинг и управление </w:t>
      </w:r>
      <w:proofErr w:type="spellStart"/>
      <w:r w:rsidRPr="003100D3">
        <w:rPr>
          <w:highlight w:val="yellow"/>
        </w:rPr>
        <w:t>мультивендорного</w:t>
      </w:r>
      <w:proofErr w:type="spellEnd"/>
      <w:r w:rsidRPr="003100D3">
        <w:rPr>
          <w:highlight w:val="yellow"/>
        </w:rPr>
        <w:t xml:space="preserve"> парка зарубежных и отечественных производителей серверного оборудования из единого </w:t>
      </w:r>
      <w:proofErr w:type="spellStart"/>
      <w:r w:rsidRPr="003100D3">
        <w:rPr>
          <w:highlight w:val="yellow"/>
        </w:rPr>
        <w:t>web</w:t>
      </w:r>
      <w:proofErr w:type="spellEnd"/>
      <w:r w:rsidRPr="003100D3">
        <w:rPr>
          <w:highlight w:val="yellow"/>
        </w:rPr>
        <w:t>-интерфейса (включает стойки, шасси, серверы и их комплектующие):</w:t>
      </w:r>
    </w:p>
    <w:p w14:paraId="5971F5DE" w14:textId="77777777" w:rsidR="003100D3" w:rsidRPr="003100D3" w:rsidRDefault="003100D3" w:rsidP="003100D3">
      <w:pPr>
        <w:ind w:left="720"/>
        <w:contextualSpacing/>
        <w:rPr>
          <w:highlight w:val="yellow"/>
        </w:rPr>
      </w:pPr>
    </w:p>
    <w:p w14:paraId="03F22FFA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 xml:space="preserve">Автоматический поиск серверного оборудования и комплектующих внутри серверного оборудования по указанному пользователем адресному диапазону с режимом </w:t>
      </w:r>
      <w:proofErr w:type="spellStart"/>
      <w:r w:rsidRPr="003100D3">
        <w:rPr>
          <w:highlight w:val="yellow"/>
        </w:rPr>
        <w:t>автоопределения</w:t>
      </w:r>
      <w:proofErr w:type="spellEnd"/>
      <w:r w:rsidRPr="003100D3">
        <w:rPr>
          <w:highlight w:val="yellow"/>
        </w:rPr>
        <w:t xml:space="preserve"> типа подключения по BMC (IPMI v1.5/IPMI v2.0/</w:t>
      </w:r>
      <w:proofErr w:type="spellStart"/>
      <w:r w:rsidRPr="003100D3">
        <w:rPr>
          <w:highlight w:val="yellow"/>
        </w:rPr>
        <w:t>Redfish</w:t>
      </w:r>
      <w:proofErr w:type="spellEnd"/>
      <w:r w:rsidRPr="003100D3">
        <w:rPr>
          <w:highlight w:val="yellow"/>
        </w:rPr>
        <w:t>);</w:t>
      </w:r>
    </w:p>
    <w:p w14:paraId="7D2733A0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Автоматизированное определение серверной платформы, комплектующих серверов и их состояния (включая показатели S.M.A.R.T дисков), проверка сетевых соединений сервера, аппаратных RAID;</w:t>
      </w:r>
    </w:p>
    <w:p w14:paraId="63F48EF6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считывания FRU информации о сервере, версий прошивок BIOS и BMC серверов (производитель, модель, серийный и каталожные номера);</w:t>
      </w:r>
    </w:p>
    <w:p w14:paraId="381D6DBA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Контроль состояния датчиков материнской платы (включая RAM, CPU) - скорости вращения вентиляторов, энергопотребления и напряжения, температуры;</w:t>
      </w:r>
    </w:p>
    <w:p w14:paraId="5C0743CC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Отслеживание отказов компонентов оборудования, а именно центрального процессора(</w:t>
      </w:r>
      <w:proofErr w:type="spellStart"/>
      <w:r w:rsidRPr="003100D3">
        <w:rPr>
          <w:highlight w:val="yellow"/>
        </w:rPr>
        <w:t>ов</w:t>
      </w:r>
      <w:proofErr w:type="spellEnd"/>
      <w:r w:rsidRPr="003100D3">
        <w:rPr>
          <w:highlight w:val="yellow"/>
        </w:rPr>
        <w:t>), оперативной памяти, блоков питания, модулей питания, компонентов устройств, компонентов систем охлаждения серверов;</w:t>
      </w:r>
    </w:p>
    <w:p w14:paraId="1DC0D10A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Визуализация графиков данных мониторинга;</w:t>
      </w:r>
    </w:p>
    <w:p w14:paraId="09201DA4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 xml:space="preserve">Поддержка протоколов SNMPv1-3, </w:t>
      </w:r>
      <w:proofErr w:type="spellStart"/>
      <w:r w:rsidRPr="003100D3">
        <w:rPr>
          <w:highlight w:val="yellow"/>
        </w:rPr>
        <w:t>http</w:t>
      </w:r>
      <w:proofErr w:type="spellEnd"/>
      <w:r w:rsidRPr="003100D3">
        <w:rPr>
          <w:highlight w:val="yellow"/>
        </w:rPr>
        <w:t>/</w:t>
      </w:r>
      <w:proofErr w:type="spellStart"/>
      <w:r w:rsidRPr="003100D3">
        <w:rPr>
          <w:highlight w:val="yellow"/>
        </w:rPr>
        <w:t>https</w:t>
      </w:r>
      <w:proofErr w:type="spellEnd"/>
      <w:r w:rsidRPr="003100D3">
        <w:rPr>
          <w:highlight w:val="yellow"/>
        </w:rPr>
        <w:t>, SMTP, SSH;</w:t>
      </w:r>
    </w:p>
    <w:p w14:paraId="301DC81D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Сбор журнала событий с BMC серверов и отображение в интерфейсе платформы;</w:t>
      </w:r>
    </w:p>
    <w:p w14:paraId="0192C878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lastRenderedPageBreak/>
        <w:t>Встроенная система оповещений о событиях и нештатных ситуациях с оборудованием с возможностью гибкой настройки пороговых значений срабатывания;</w:t>
      </w:r>
    </w:p>
    <w:p w14:paraId="77216574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Подключение почтового сервера для отправки уведомлений через SMTP</w:t>
      </w:r>
    </w:p>
    <w:p w14:paraId="573E0661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 xml:space="preserve">Формирование и </w:t>
      </w:r>
      <w:proofErr w:type="spellStart"/>
      <w:r w:rsidRPr="003100D3">
        <w:rPr>
          <w:highlight w:val="yellow"/>
        </w:rPr>
        <w:t>кастомизации</w:t>
      </w:r>
      <w:proofErr w:type="spellEnd"/>
      <w:r w:rsidRPr="003100D3">
        <w:rPr>
          <w:highlight w:val="yellow"/>
        </w:rPr>
        <w:t xml:space="preserve"> отчетов об оборудовании, включая комплектующие и прошивки серверов;</w:t>
      </w:r>
    </w:p>
    <w:p w14:paraId="0187AA8F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Управление серверным оборудованием любых производителей через BMC по протоколам IPMI v1.5/v2/</w:t>
      </w:r>
      <w:proofErr w:type="spellStart"/>
      <w:r w:rsidRPr="003100D3">
        <w:rPr>
          <w:highlight w:val="yellow"/>
        </w:rPr>
        <w:t>IntelAMT</w:t>
      </w:r>
      <w:proofErr w:type="spellEnd"/>
      <w:r w:rsidRPr="003100D3">
        <w:rPr>
          <w:highlight w:val="yellow"/>
        </w:rPr>
        <w:t>/</w:t>
      </w:r>
      <w:proofErr w:type="spellStart"/>
      <w:r w:rsidRPr="003100D3">
        <w:rPr>
          <w:highlight w:val="yellow"/>
        </w:rPr>
        <w:t>RedFish</w:t>
      </w:r>
      <w:proofErr w:type="spellEnd"/>
      <w:r w:rsidRPr="003100D3">
        <w:rPr>
          <w:highlight w:val="yellow"/>
        </w:rPr>
        <w:t xml:space="preserve"> в публичных и приватных сетях через встроенный защищенный инструмент </w:t>
      </w:r>
      <w:proofErr w:type="spellStart"/>
      <w:r w:rsidRPr="003100D3">
        <w:rPr>
          <w:highlight w:val="yellow"/>
        </w:rPr>
        <w:t>проксирования</w:t>
      </w:r>
      <w:proofErr w:type="spellEnd"/>
      <w:r w:rsidRPr="003100D3">
        <w:rPr>
          <w:highlight w:val="yellow"/>
        </w:rPr>
        <w:t>;</w:t>
      </w:r>
    </w:p>
    <w:p w14:paraId="4CA6D1F7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Удаленное включение/выключение, перезагрузка, получение текущего статуса серверного оборудования;</w:t>
      </w:r>
    </w:p>
    <w:p w14:paraId="36D1DC68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Обновление прошивок BMC и BIOS/UEFI серверов из графического интерфейса системы;</w:t>
      </w:r>
    </w:p>
    <w:p w14:paraId="2C014166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Дистанционное выполнения операций с оборудованием - установка операционных систем по сети, монтирование ISO, восстановление, запуск установки любого ПО, выполнение скриптов;</w:t>
      </w:r>
    </w:p>
    <w:p w14:paraId="4736A1B3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Наличие готовой библиотеки шаблонов и дистрибутивов гостевых операционных систем;</w:t>
      </w:r>
    </w:p>
    <w:p w14:paraId="15E619FC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загружать и использовать собственные ISO-образы, в том числе с локального устройства;</w:t>
      </w:r>
    </w:p>
    <w:p w14:paraId="377F96BD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использования макросов для настройки серверного оборудования;</w:t>
      </w:r>
    </w:p>
    <w:p w14:paraId="34C6A15C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Настройка программных RAID на сервере при установке операционных систем;</w:t>
      </w:r>
    </w:p>
    <w:p w14:paraId="432911F3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Проведение групповых операций с серверами (включение/ выключение/ перезагрузка/ удаление/ обновление BMC и BIOS/UEFI/ установка операционных систем и проведение диагностики оборудования);</w:t>
      </w:r>
    </w:p>
    <w:p w14:paraId="19A274B7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Использование скриптов для создания собственных сценариев настройки серверного оборудования после установки операционных систем;</w:t>
      </w:r>
    </w:p>
    <w:p w14:paraId="0864575E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Включение “Режима обслуживания” для сервера, ограничивающий операции с сервером другим пользователям;</w:t>
      </w:r>
    </w:p>
    <w:p w14:paraId="0C785E2F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сквозного поиска и фильтрации данных об объектах платформы по всем доступным параметрам;</w:t>
      </w:r>
    </w:p>
    <w:p w14:paraId="00C1EAEC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 xml:space="preserve">Ведение истории событий и </w:t>
      </w:r>
      <w:proofErr w:type="spellStart"/>
      <w:r w:rsidRPr="003100D3">
        <w:rPr>
          <w:highlight w:val="yellow"/>
        </w:rPr>
        <w:t>логирование</w:t>
      </w:r>
      <w:proofErr w:type="spellEnd"/>
      <w:r w:rsidRPr="003100D3">
        <w:rPr>
          <w:highlight w:val="yellow"/>
        </w:rPr>
        <w:t xml:space="preserve"> действий пользователей, контроль изменений управляемых систем;</w:t>
      </w:r>
    </w:p>
    <w:p w14:paraId="2A5E1BE7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proofErr w:type="spellStart"/>
      <w:r w:rsidRPr="003100D3">
        <w:rPr>
          <w:highlight w:val="yellow"/>
        </w:rPr>
        <w:t>Журналирование</w:t>
      </w:r>
      <w:proofErr w:type="spellEnd"/>
      <w:r w:rsidRPr="003100D3">
        <w:rPr>
          <w:highlight w:val="yellow"/>
        </w:rPr>
        <w:t xml:space="preserve"> и контроль доступа к событиям системы в соответствии с ролевой моделью;</w:t>
      </w:r>
    </w:p>
    <w:p w14:paraId="77614149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Ролевое ограничение возможностей продукта;</w:t>
      </w:r>
    </w:p>
    <w:p w14:paraId="69128717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контроля доступа с определенного IP (ACL);</w:t>
      </w:r>
    </w:p>
    <w:p w14:paraId="06D55F71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использования второго фактора аутентификации на базе OTP;</w:t>
      </w:r>
    </w:p>
    <w:p w14:paraId="42BB1C9C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Возможность использования службы идентификации LDAP/</w:t>
      </w:r>
      <w:proofErr w:type="spellStart"/>
      <w:r w:rsidRPr="003100D3">
        <w:rPr>
          <w:highlight w:val="yellow"/>
        </w:rPr>
        <w:t>FreeIPA</w:t>
      </w:r>
      <w:proofErr w:type="spellEnd"/>
      <w:r w:rsidRPr="003100D3">
        <w:rPr>
          <w:highlight w:val="yellow"/>
        </w:rPr>
        <w:t>/</w:t>
      </w:r>
      <w:proofErr w:type="spellStart"/>
      <w:r w:rsidRPr="003100D3">
        <w:rPr>
          <w:highlight w:val="yellow"/>
        </w:rPr>
        <w:t>ALDPro</w:t>
      </w:r>
      <w:proofErr w:type="spellEnd"/>
      <w:r w:rsidRPr="003100D3">
        <w:rPr>
          <w:highlight w:val="yellow"/>
        </w:rPr>
        <w:t>;</w:t>
      </w:r>
    </w:p>
    <w:p w14:paraId="1F456D1B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Автоматизированное управление резервным копированием платформы со встроенным планировщиком;</w:t>
      </w:r>
    </w:p>
    <w:p w14:paraId="457775E2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  <w:rPr>
          <w:highlight w:val="yellow"/>
        </w:rPr>
      </w:pPr>
      <w:r w:rsidRPr="003100D3">
        <w:rPr>
          <w:highlight w:val="yellow"/>
        </w:rPr>
        <w:t>Экспорт данных в разных форматах для интеграции с другими системами.</w:t>
      </w:r>
    </w:p>
    <w:p w14:paraId="12F2271C" w14:textId="77777777" w:rsidR="003100D3" w:rsidRPr="003100D3" w:rsidRDefault="003100D3" w:rsidP="003100D3">
      <w:pPr>
        <w:ind w:left="720"/>
        <w:contextualSpacing/>
      </w:pPr>
    </w:p>
    <w:p w14:paraId="6ED32600" w14:textId="77777777" w:rsidR="003100D3" w:rsidRPr="003100D3" w:rsidRDefault="003100D3" w:rsidP="003100D3">
      <w:pPr>
        <w:numPr>
          <w:ilvl w:val="1"/>
          <w:numId w:val="1"/>
        </w:numPr>
        <w:contextualSpacing/>
      </w:pPr>
      <w:r w:rsidRPr="003100D3">
        <w:t>Дополнительные характеристики поставляемых товаров:</w:t>
      </w:r>
    </w:p>
    <w:p w14:paraId="3565BD1F" w14:textId="77777777" w:rsidR="003100D3" w:rsidRPr="003100D3" w:rsidRDefault="003100D3" w:rsidP="003100D3">
      <w:pPr>
        <w:ind w:left="360"/>
      </w:pPr>
      <w:r w:rsidRPr="003100D3">
        <w:t>Требования к качественным характеристикам товара:</w:t>
      </w:r>
    </w:p>
    <w:p w14:paraId="1B151020" w14:textId="77777777" w:rsidR="003100D3" w:rsidRPr="003100D3" w:rsidRDefault="003100D3" w:rsidP="003100D3">
      <w:pPr>
        <w:ind w:left="360"/>
      </w:pPr>
      <w:r w:rsidRPr="003100D3">
        <w:t>Качество товара должно соответствовать требованиям действующего законодательства РФ для данного вида товара.</w:t>
      </w:r>
    </w:p>
    <w:p w14:paraId="12186881" w14:textId="77777777" w:rsidR="003100D3" w:rsidRPr="003100D3" w:rsidRDefault="003100D3" w:rsidP="003100D3">
      <w:pPr>
        <w:ind w:left="360"/>
      </w:pPr>
      <w:r w:rsidRPr="003100D3">
        <w:t>Требования к функциональным характеристикам товара:</w:t>
      </w:r>
    </w:p>
    <w:p w14:paraId="4D6DDE46" w14:textId="77777777" w:rsidR="003100D3" w:rsidRPr="003100D3" w:rsidRDefault="003100D3" w:rsidP="003100D3">
      <w:pPr>
        <w:ind w:left="360"/>
      </w:pPr>
      <w:r w:rsidRPr="003100D3">
        <w:lastRenderedPageBreak/>
        <w:t>Функциональные свойства должны соответствовать фактическим свойствам при эксплуатации данного товара, в течение не менее гарантийного периода.</w:t>
      </w:r>
    </w:p>
    <w:p w14:paraId="0AF5133A" w14:textId="77777777" w:rsidR="003100D3" w:rsidRPr="003100D3" w:rsidRDefault="003100D3" w:rsidP="003100D3">
      <w:pPr>
        <w:ind w:left="360"/>
      </w:pPr>
      <w:r w:rsidRPr="003100D3">
        <w:t>В случае поставки товара ненадлежащего качества, повреждённого во время перевозки в результате неправильной упаковки или связанных с этим причин, товар подлежит замене Поставщиком за его счет в адрес Заказчика в сроки, согласованные сторонами.</w:t>
      </w:r>
    </w:p>
    <w:p w14:paraId="76EF4BD8" w14:textId="77777777" w:rsidR="003100D3" w:rsidRPr="003100D3" w:rsidRDefault="003100D3" w:rsidP="003100D3"/>
    <w:p w14:paraId="553D8B03" w14:textId="77777777" w:rsidR="003100D3" w:rsidRPr="003100D3" w:rsidRDefault="003100D3" w:rsidP="003100D3">
      <w:pPr>
        <w:ind w:left="360"/>
        <w:jc w:val="center"/>
        <w:rPr>
          <w:b/>
          <w:bCs/>
        </w:rPr>
      </w:pPr>
      <w:r w:rsidRPr="003100D3">
        <w:rPr>
          <w:b/>
          <w:bCs/>
        </w:rPr>
        <w:t>3. ТРЕБОВАНИЯ К ТЕХНИЧЕСКОЙ ПОДДЕРЖКЕ</w:t>
      </w:r>
    </w:p>
    <w:p w14:paraId="350AE182" w14:textId="77777777" w:rsidR="003100D3" w:rsidRPr="003100D3" w:rsidRDefault="003100D3" w:rsidP="003100D3">
      <w:pPr>
        <w:keepNext/>
        <w:keepLines/>
        <w:numPr>
          <w:ilvl w:val="1"/>
          <w:numId w:val="9"/>
        </w:numPr>
        <w:spacing w:before="40" w:after="0" w:line="276" w:lineRule="auto"/>
        <w:outlineLvl w:val="1"/>
        <w:rPr>
          <w:b/>
          <w:bCs/>
        </w:rPr>
      </w:pPr>
      <w:bookmarkStart w:id="1" w:name="_Ref20236331"/>
      <w:bookmarkStart w:id="2" w:name="_Toc21155225"/>
      <w:bookmarkStart w:id="3" w:name="_Ref31732935"/>
      <w:r w:rsidRPr="003100D3">
        <w:rPr>
          <w:b/>
          <w:bCs/>
        </w:rPr>
        <w:t xml:space="preserve">Общие требования </w:t>
      </w:r>
    </w:p>
    <w:p w14:paraId="7D7A15E2" w14:textId="77777777" w:rsidR="003100D3" w:rsidRPr="003100D3" w:rsidRDefault="003100D3" w:rsidP="003100D3">
      <w:pPr>
        <w:numPr>
          <w:ilvl w:val="2"/>
          <w:numId w:val="9"/>
        </w:numPr>
        <w:spacing w:after="0" w:line="256" w:lineRule="auto"/>
        <w:contextualSpacing/>
        <w:jc w:val="both"/>
      </w:pPr>
      <w:r w:rsidRPr="003100D3">
        <w:t>Должны быть обеспечены следующие виды услуг:</w:t>
      </w:r>
    </w:p>
    <w:p w14:paraId="4FA68140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</w:pPr>
      <w:r w:rsidRPr="003100D3">
        <w:t>устранение инцидентов в работе Оборудования;</w:t>
      </w:r>
    </w:p>
    <w:p w14:paraId="41B961B8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</w:pPr>
      <w:r w:rsidRPr="003100D3">
        <w:t>оперативное уведомление об обнаруженных Производителями ошибках в работе Оборудования и их возможном влиянии на инфраструктуру Банка;</w:t>
      </w:r>
    </w:p>
    <w:p w14:paraId="7FE6B824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</w:pPr>
      <w:r w:rsidRPr="003100D3">
        <w:t>диагностика сбоев и ремонт (замена) вышедших из строя компонентов Оборудования;</w:t>
      </w:r>
    </w:p>
    <w:p w14:paraId="51333749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</w:pPr>
      <w:r w:rsidRPr="003100D3">
        <w:t>доставка замены для вышедших из строя компонентов Оборудования на Объекты информатизации в оговоренные спецификацией услуги сроки и неотложные работы по восстановлению работоспособности Оборудования на Объектах;</w:t>
      </w:r>
    </w:p>
    <w:p w14:paraId="34DCCF40" w14:textId="77777777" w:rsidR="003100D3" w:rsidRPr="003100D3" w:rsidRDefault="003100D3" w:rsidP="003100D3">
      <w:pPr>
        <w:numPr>
          <w:ilvl w:val="0"/>
          <w:numId w:val="5"/>
        </w:numPr>
        <w:spacing w:after="0" w:line="256" w:lineRule="auto"/>
        <w:contextualSpacing/>
        <w:jc w:val="both"/>
      </w:pPr>
      <w:r w:rsidRPr="003100D3">
        <w:t>комплексные консультации по настройке и эксплуатации Оборудования.</w:t>
      </w:r>
    </w:p>
    <w:p w14:paraId="16079B07" w14:textId="77777777" w:rsidR="003100D3" w:rsidRPr="003100D3" w:rsidRDefault="003100D3" w:rsidP="003100D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CD307AD" w14:textId="77777777" w:rsidR="003100D3" w:rsidRPr="003100D3" w:rsidRDefault="003100D3" w:rsidP="003100D3">
      <w:pPr>
        <w:numPr>
          <w:ilvl w:val="2"/>
          <w:numId w:val="9"/>
        </w:numPr>
        <w:spacing w:after="0" w:line="256" w:lineRule="auto"/>
        <w:contextualSpacing/>
        <w:jc w:val="both"/>
      </w:pPr>
      <w:r w:rsidRPr="003100D3">
        <w:t>Устанавливаются следующие общие обязательные требования к уровню технической поддержки и её параметры:</w:t>
      </w:r>
    </w:p>
    <w:p w14:paraId="06DA512A" w14:textId="77777777" w:rsidR="003100D3" w:rsidRPr="003100D3" w:rsidRDefault="003100D3" w:rsidP="003100D3">
      <w:pPr>
        <w:spacing w:after="0"/>
        <w:ind w:left="1418"/>
        <w:jc w:val="both"/>
      </w:pPr>
      <w:r w:rsidRPr="003100D3">
        <w:t>I.</w:t>
      </w:r>
      <w:r w:rsidRPr="003100D3">
        <w:tab/>
        <w:t>Интервал приёма запросов на поддержку – дни и часы, когда Банк может обращаться в службы технической поддержки Производителей.</w:t>
      </w:r>
    </w:p>
    <w:p w14:paraId="00687F85" w14:textId="77777777" w:rsidR="003100D3" w:rsidRPr="003100D3" w:rsidRDefault="003100D3" w:rsidP="003100D3">
      <w:pPr>
        <w:spacing w:after="0"/>
        <w:ind w:left="1418"/>
        <w:jc w:val="both"/>
      </w:pPr>
      <w:r w:rsidRPr="003100D3">
        <w:t>II.</w:t>
      </w:r>
      <w:r w:rsidRPr="003100D3">
        <w:tab/>
        <w:t xml:space="preserve">Время реакции - временной интервал с момента подачи запроса до момента подключения технического специалиста к его решению (начала прямого контакта с Заказчиком). </w:t>
      </w:r>
    </w:p>
    <w:p w14:paraId="43F0BAD4" w14:textId="77777777" w:rsidR="003100D3" w:rsidRPr="003100D3" w:rsidRDefault="003100D3" w:rsidP="003100D3">
      <w:pPr>
        <w:spacing w:after="0"/>
        <w:ind w:left="1418"/>
        <w:jc w:val="both"/>
      </w:pPr>
      <w:r w:rsidRPr="003100D3">
        <w:t>III.</w:t>
      </w:r>
      <w:r w:rsidRPr="003100D3">
        <w:tab/>
        <w:t>Обязательный приём службой технической поддержки Производителя запросов с критическим приоритетом для инцидентов с Оборудованием, когда Оборудование не работает, не может передавать данные, находится в состоянии часто повторяющихся сбоев или в состоянии деградации производительности с прямым воздействием на бизнес-операции Банка. Приоритет определяют специалисты Банка, руководствуясь профессиональными знаниями и разумной оценкой последствий сбоя.</w:t>
      </w:r>
    </w:p>
    <w:p w14:paraId="053C22A0" w14:textId="77777777" w:rsidR="003100D3" w:rsidRPr="003100D3" w:rsidRDefault="003100D3" w:rsidP="003100D3">
      <w:pPr>
        <w:spacing w:after="0"/>
        <w:ind w:left="1418"/>
        <w:jc w:val="both"/>
      </w:pPr>
      <w:r w:rsidRPr="003100D3">
        <w:t>IV.</w:t>
      </w:r>
      <w:r w:rsidRPr="003100D3">
        <w:tab/>
        <w:t>Целевое время решения (</w:t>
      </w:r>
      <w:proofErr w:type="spellStart"/>
      <w:r w:rsidRPr="003100D3">
        <w:t>Time</w:t>
      </w:r>
      <w:proofErr w:type="spellEnd"/>
      <w:r w:rsidRPr="003100D3">
        <w:t xml:space="preserve"> </w:t>
      </w:r>
      <w:proofErr w:type="spellStart"/>
      <w:r w:rsidRPr="003100D3">
        <w:t>to</w:t>
      </w:r>
      <w:proofErr w:type="spellEnd"/>
      <w:r w:rsidRPr="003100D3">
        <w:t xml:space="preserve"> </w:t>
      </w:r>
      <w:proofErr w:type="spellStart"/>
      <w:r w:rsidRPr="003100D3">
        <w:t>Fix</w:t>
      </w:r>
      <w:proofErr w:type="spellEnd"/>
      <w:r w:rsidRPr="003100D3">
        <w:t xml:space="preserve">) заявленной Банком проблемы для запросов с критическим приоритетом – предельное время в часах для задач восстановления работоспособности Оборудования представителями сервисных служб Производителей. </w:t>
      </w:r>
    </w:p>
    <w:p w14:paraId="6F08FA30" w14:textId="77777777" w:rsidR="003100D3" w:rsidRPr="003100D3" w:rsidRDefault="003100D3" w:rsidP="003100D3">
      <w:pPr>
        <w:spacing w:after="0"/>
        <w:ind w:left="1418"/>
        <w:jc w:val="both"/>
      </w:pPr>
      <w:r w:rsidRPr="003100D3">
        <w:t>V.</w:t>
      </w:r>
      <w:r w:rsidRPr="003100D3">
        <w:tab/>
        <w:t xml:space="preserve">Целевое время решения для запросов иных, кроме критических, приоритетов должно быть предложено в виде описания услуг технической поддержки, совместно с регламентами оказания услуг. </w:t>
      </w:r>
    </w:p>
    <w:p w14:paraId="4672E7C4" w14:textId="77777777" w:rsidR="003100D3" w:rsidRPr="003100D3" w:rsidRDefault="003100D3" w:rsidP="003100D3">
      <w:pPr>
        <w:spacing w:after="0"/>
        <w:ind w:left="1418"/>
        <w:jc w:val="both"/>
      </w:pPr>
      <w:r w:rsidRPr="003100D3">
        <w:t>VI. Рабочие часы определены как 9х5 (9 рабочих часов, с 9:00 до 18:00 местного времени, 5 рабочих дней в неделю).</w:t>
      </w:r>
    </w:p>
    <w:p w14:paraId="41322C6F" w14:textId="77777777" w:rsidR="003100D3" w:rsidRPr="003100D3" w:rsidRDefault="003100D3" w:rsidP="003100D3">
      <w:pPr>
        <w:spacing w:after="0"/>
        <w:ind w:left="993" w:firstLine="360"/>
        <w:jc w:val="both"/>
      </w:pPr>
      <w:r w:rsidRPr="003100D3">
        <w:t>Должна быть указана возможность\невозможность эскалации проблемы (запроса) в технический центр Производителя при нарушении целевого времени решения.</w:t>
      </w:r>
    </w:p>
    <w:p w14:paraId="3CDF7D2F" w14:textId="77777777" w:rsidR="003100D3" w:rsidRPr="003100D3" w:rsidRDefault="003100D3" w:rsidP="003100D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4D24C43" w14:textId="77777777" w:rsidR="003100D3" w:rsidRPr="003100D3" w:rsidRDefault="003100D3" w:rsidP="003100D3">
      <w:pPr>
        <w:numPr>
          <w:ilvl w:val="2"/>
          <w:numId w:val="9"/>
        </w:numPr>
        <w:spacing w:after="0" w:line="256" w:lineRule="auto"/>
        <w:contextualSpacing/>
        <w:jc w:val="both"/>
      </w:pPr>
      <w:r w:rsidRPr="003100D3">
        <w:rPr>
          <w:rFonts w:ascii="Times New Roman" w:hAnsi="Times New Roman" w:cs="Times New Roman"/>
          <w:sz w:val="24"/>
          <w:szCs w:val="24"/>
        </w:rPr>
        <w:t>З</w:t>
      </w:r>
      <w:r w:rsidRPr="003100D3">
        <w:t>амена вышедших из строя деталей</w:t>
      </w:r>
    </w:p>
    <w:p w14:paraId="72C49E86" w14:textId="77777777" w:rsidR="003100D3" w:rsidRPr="003100D3" w:rsidRDefault="003100D3" w:rsidP="003100D3">
      <w:pPr>
        <w:spacing w:after="0"/>
        <w:ind w:left="993" w:firstLine="360"/>
        <w:jc w:val="both"/>
      </w:pPr>
      <w:r w:rsidRPr="003100D3">
        <w:lastRenderedPageBreak/>
        <w:t>В рамках услуги по замене вышедших из строя деталей Оборудования сервисные службы Производителей или Исполнителей предоставляют все запасные части и материалы, необходимые для проведения ремонтно-восстановительных работ.</w:t>
      </w:r>
    </w:p>
    <w:p w14:paraId="7C026201" w14:textId="77777777" w:rsidR="003100D3" w:rsidRPr="003100D3" w:rsidRDefault="003100D3" w:rsidP="003100D3">
      <w:pPr>
        <w:spacing w:after="0"/>
        <w:ind w:left="993" w:firstLine="360"/>
        <w:jc w:val="both"/>
      </w:pPr>
      <w:r w:rsidRPr="003100D3">
        <w:t>Сервисные службы Производителей или Исполнителей несут в полном объеме все расходы, связанные с доставкой, заменой и отправкой компонентов Оборудования в рамках услуги ремонта Оборудования.</w:t>
      </w:r>
    </w:p>
    <w:p w14:paraId="0276ACCA" w14:textId="77777777" w:rsidR="003100D3" w:rsidRPr="003100D3" w:rsidRDefault="003100D3" w:rsidP="003100D3">
      <w:pPr>
        <w:spacing w:after="0"/>
        <w:ind w:left="9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0D3">
        <w:t>Представители сервисных служб Производителей или Исполнителей осуществляют доставку запасных частей и материалов до места эксплуатации Оборудования.</w:t>
      </w:r>
      <w:r w:rsidRPr="003100D3">
        <w:rPr>
          <w:rFonts w:ascii="Times New Roman" w:hAnsi="Times New Roman" w:cs="Times New Roman"/>
          <w:sz w:val="24"/>
          <w:szCs w:val="24"/>
        </w:rPr>
        <w:t xml:space="preserve"> </w:t>
      </w:r>
      <w:r w:rsidRPr="003100D3">
        <w:rPr>
          <w:rFonts w:ascii="Times New Roman" w:hAnsi="Times New Roman" w:cs="Times New Roman"/>
          <w:sz w:val="24"/>
          <w:szCs w:val="24"/>
        </w:rPr>
        <w:tab/>
      </w:r>
    </w:p>
    <w:p w14:paraId="1DCF6E91" w14:textId="77777777" w:rsidR="003100D3" w:rsidRPr="003100D3" w:rsidRDefault="003100D3" w:rsidP="003100D3">
      <w:pPr>
        <w:spacing w:after="0"/>
        <w:ind w:left="993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D17876" w14:textId="77777777" w:rsidR="003100D3" w:rsidRPr="003100D3" w:rsidRDefault="003100D3" w:rsidP="003100D3">
      <w:pPr>
        <w:keepNext/>
        <w:keepLines/>
        <w:numPr>
          <w:ilvl w:val="1"/>
          <w:numId w:val="9"/>
        </w:numPr>
        <w:spacing w:before="40" w:after="0" w:line="276" w:lineRule="auto"/>
        <w:outlineLvl w:val="1"/>
        <w:rPr>
          <w:b/>
          <w:bCs/>
        </w:rPr>
      </w:pPr>
      <w:r w:rsidRPr="003100D3">
        <w:rPr>
          <w:b/>
          <w:bCs/>
        </w:rPr>
        <w:t>Адрес предоставления услуг</w:t>
      </w:r>
    </w:p>
    <w:p w14:paraId="340711CC" w14:textId="77777777" w:rsidR="003100D3" w:rsidRPr="003100D3" w:rsidRDefault="003100D3" w:rsidP="003100D3">
      <w:pPr>
        <w:numPr>
          <w:ilvl w:val="2"/>
          <w:numId w:val="9"/>
        </w:numPr>
        <w:spacing w:line="256" w:lineRule="auto"/>
        <w:contextualSpacing/>
      </w:pPr>
      <w:r w:rsidRPr="003100D3">
        <w:t>111020, Москва, Боровая улица, 7с10.</w:t>
      </w:r>
    </w:p>
    <w:p w14:paraId="0E428B2A" w14:textId="77777777" w:rsidR="003100D3" w:rsidRPr="003100D3" w:rsidRDefault="003100D3" w:rsidP="003100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9E18BBF" w14:textId="77777777" w:rsidR="003100D3" w:rsidRPr="003100D3" w:rsidRDefault="003100D3" w:rsidP="003100D3">
      <w:pPr>
        <w:keepNext/>
        <w:keepLines/>
        <w:numPr>
          <w:ilvl w:val="1"/>
          <w:numId w:val="9"/>
        </w:numPr>
        <w:spacing w:before="40" w:after="0" w:line="276" w:lineRule="auto"/>
        <w:outlineLvl w:val="1"/>
        <w:rPr>
          <w:b/>
          <w:bCs/>
        </w:rPr>
      </w:pPr>
      <w:r w:rsidRPr="003100D3">
        <w:rPr>
          <w:b/>
          <w:bCs/>
        </w:rPr>
        <w:t>Требования к технической поддержк</w:t>
      </w:r>
      <w:bookmarkEnd w:id="1"/>
      <w:bookmarkEnd w:id="2"/>
      <w:bookmarkEnd w:id="3"/>
      <w:r w:rsidRPr="003100D3">
        <w:rPr>
          <w:b/>
          <w:bCs/>
        </w:rPr>
        <w:t>е</w:t>
      </w:r>
    </w:p>
    <w:p w14:paraId="4CBAEEC9" w14:textId="77777777" w:rsidR="003100D3" w:rsidRPr="003100D3" w:rsidRDefault="003100D3" w:rsidP="003100D3">
      <w:pPr>
        <w:spacing w:after="0"/>
        <w:jc w:val="both"/>
      </w:pPr>
      <w:r w:rsidRPr="003100D3">
        <w:t xml:space="preserve">Техническая поддержка оборудования должна осуществляться специалистами компании-производителя, либо специалистами компании-партнёра, имеющей действующий договор с производителем или его представителями на поддержку оборудования, принимаемого на техническую поддержку. </w:t>
      </w:r>
    </w:p>
    <w:p w14:paraId="3A676B0A" w14:textId="77777777" w:rsidR="003100D3" w:rsidRPr="003100D3" w:rsidRDefault="003100D3" w:rsidP="003100D3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22631" w14:textId="77777777" w:rsidR="003100D3" w:rsidRPr="003100D3" w:rsidRDefault="003100D3" w:rsidP="003100D3">
      <w:pPr>
        <w:spacing w:after="0"/>
        <w:ind w:left="709" w:firstLine="708"/>
        <w:jc w:val="right"/>
        <w:rPr>
          <w:rFonts w:ascii="Times New Roman" w:hAnsi="Times New Roman" w:cs="Times New Roman"/>
          <w:szCs w:val="24"/>
        </w:rPr>
      </w:pPr>
      <w:r w:rsidRPr="003100D3">
        <w:rPr>
          <w:rFonts w:ascii="Times New Roman" w:hAnsi="Times New Roman" w:cs="Times New Roman"/>
          <w:szCs w:val="24"/>
        </w:rPr>
        <w:t>Таблица 1. Параметры технической поддержки</w:t>
      </w:r>
    </w:p>
    <w:tbl>
      <w:tblPr>
        <w:tblStyle w:val="1"/>
        <w:tblW w:w="10064" w:type="dxa"/>
        <w:tblInd w:w="-786" w:type="dxa"/>
        <w:tblLook w:val="04A0" w:firstRow="1" w:lastRow="0" w:firstColumn="1" w:lastColumn="0" w:noHBand="0" w:noVBand="1"/>
      </w:tblPr>
      <w:tblGrid>
        <w:gridCol w:w="562"/>
        <w:gridCol w:w="5245"/>
        <w:gridCol w:w="4257"/>
      </w:tblGrid>
      <w:tr w:rsidR="003100D3" w:rsidRPr="003100D3" w14:paraId="2DAFD273" w14:textId="77777777" w:rsidTr="005E2E78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EB30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4B8E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6C7E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100D3" w:rsidRPr="003100D3" w14:paraId="5C1C59DA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3DA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B660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 xml:space="preserve">Интервал приёма запросов на поддержку или заведения заявки на обслуживание по телефону, через  </w:t>
            </w:r>
            <w:proofErr w:type="spellStart"/>
            <w:r w:rsidRPr="003100D3">
              <w:t>web</w:t>
            </w:r>
            <w:proofErr w:type="spellEnd"/>
            <w:r w:rsidRPr="003100D3">
              <w:t xml:space="preserve">-сайт и/или по электронной почте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5518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В режиме 24х7, в том числе в праздничные и выходные дни</w:t>
            </w:r>
          </w:p>
        </w:tc>
      </w:tr>
      <w:tr w:rsidR="003100D3" w:rsidRPr="003100D3" w14:paraId="0739BA71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BC2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79F7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Время реакции сервисной службы (начала прямого контакта с Банком) с момента открытия заявки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E66C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 xml:space="preserve">Не более 1 рабочего часа, </w:t>
            </w:r>
            <w:r w:rsidRPr="003100D3">
              <w:br/>
              <w:t>указать исключения или отличия (если имеются)</w:t>
            </w:r>
          </w:p>
        </w:tc>
      </w:tr>
      <w:tr w:rsidR="003100D3" w:rsidRPr="003100D3" w14:paraId="21DAB0A8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489B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4E0E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 xml:space="preserve">Техническая поддержка оборудования, включая </w:t>
            </w:r>
            <w:proofErr w:type="spellStart"/>
            <w:r w:rsidRPr="003100D3">
              <w:t>on-site</w:t>
            </w:r>
            <w:proofErr w:type="spellEnd"/>
            <w:r w:rsidRPr="003100D3">
              <w:t xml:space="preserve"> для критических приоритетов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091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Не ниже, чем уровень 9х5, NBD/</w:t>
            </w:r>
            <w:proofErr w:type="spellStart"/>
            <w:r w:rsidRPr="003100D3">
              <w:t>Standard</w:t>
            </w:r>
            <w:proofErr w:type="spellEnd"/>
            <w:r w:rsidRPr="003100D3">
              <w:t xml:space="preserve"> (указать уровень)</w:t>
            </w:r>
          </w:p>
        </w:tc>
      </w:tr>
      <w:tr w:rsidR="003100D3" w:rsidRPr="003100D3" w14:paraId="204E0465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D8AC" w14:textId="77777777" w:rsidR="003100D3" w:rsidRPr="003100D3" w:rsidRDefault="003100D3" w:rsidP="003100D3">
            <w:pPr>
              <w:numPr>
                <w:ilvl w:val="0"/>
                <w:numId w:val="6"/>
              </w:numPr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2ECD" w14:textId="77777777" w:rsidR="003100D3" w:rsidRPr="003100D3" w:rsidRDefault="003100D3" w:rsidP="003100D3">
            <w:r w:rsidRPr="003100D3">
              <w:t>Целевое время решения (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) для запросов на устранение сбоев аппаратного обеспечения  Оборудования с критическим приоритетом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5307" w14:textId="77777777" w:rsidR="003100D3" w:rsidRPr="003100D3" w:rsidRDefault="003100D3" w:rsidP="003100D3">
            <w:r w:rsidRPr="003100D3">
              <w:t>Не более 2-х суток,</w:t>
            </w:r>
            <w:r w:rsidRPr="003100D3">
              <w:br/>
              <w:t>указать исключения или отличия (если имеются)</w:t>
            </w:r>
          </w:p>
        </w:tc>
      </w:tr>
      <w:tr w:rsidR="003100D3" w:rsidRPr="003100D3" w14:paraId="594D954C" w14:textId="77777777" w:rsidTr="005E2E78">
        <w:trPr>
          <w:cantSplit/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9CA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C5F1" w14:textId="77777777" w:rsidR="003100D3" w:rsidRPr="003100D3" w:rsidRDefault="003100D3" w:rsidP="003100D3">
            <w:r w:rsidRPr="003100D3">
              <w:t>Целевое время решения для запросов иных, кроме критических, приоритетов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7643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Предоставить описание (матрицу)</w:t>
            </w:r>
          </w:p>
        </w:tc>
      </w:tr>
      <w:tr w:rsidR="003100D3" w:rsidRPr="003100D3" w14:paraId="7C586A39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DDA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347C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Бесплатная замена неисправных компонентов оборудования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4D0A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</w:t>
            </w:r>
          </w:p>
        </w:tc>
      </w:tr>
      <w:tr w:rsidR="003100D3" w:rsidRPr="003100D3" w14:paraId="34AF6C59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4A1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C24C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Возможность невозврата сбойных дисков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901C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Наличие, где применимо</w:t>
            </w:r>
          </w:p>
        </w:tc>
      </w:tr>
      <w:tr w:rsidR="003100D3" w:rsidRPr="003100D3" w14:paraId="23A758CB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4A5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0E44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 собственного сервисного склада Партнёра или доступ к сервисным складам Производителя, его представителей для оперативной доставки компонентов в сроки, определённые «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».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5C1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 (при отсутствии – указать явно)</w:t>
            </w:r>
          </w:p>
        </w:tc>
      </w:tr>
      <w:tr w:rsidR="003100D3" w:rsidRPr="003100D3" w14:paraId="6A2C8729" w14:textId="77777777" w:rsidTr="005E2E7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8C1" w14:textId="77777777" w:rsidR="003100D3" w:rsidRPr="003100D3" w:rsidRDefault="003100D3" w:rsidP="003100D3">
            <w:pPr>
              <w:numPr>
                <w:ilvl w:val="0"/>
                <w:numId w:val="6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591F" w14:textId="77777777" w:rsidR="003100D3" w:rsidRPr="003100D3" w:rsidRDefault="003100D3" w:rsidP="003100D3">
            <w:r w:rsidRPr="003100D3">
              <w:t>Замена неисправных компонентов должна осуществляться оригинальными комплектующими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A80B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Соблюдается</w:t>
            </w:r>
          </w:p>
        </w:tc>
      </w:tr>
    </w:tbl>
    <w:p w14:paraId="494A0F94" w14:textId="77777777" w:rsidR="003100D3" w:rsidRPr="003100D3" w:rsidRDefault="003100D3" w:rsidP="003100D3">
      <w:pPr>
        <w:keepNext/>
        <w:keepLines/>
        <w:spacing w:before="40" w:after="0" w:line="276" w:lineRule="auto"/>
        <w:ind w:left="786"/>
        <w:outlineLvl w:val="1"/>
        <w:rPr>
          <w:b/>
          <w:bCs/>
        </w:rPr>
      </w:pPr>
    </w:p>
    <w:p w14:paraId="394478E2" w14:textId="77777777" w:rsidR="003100D3" w:rsidRPr="003100D3" w:rsidRDefault="003100D3" w:rsidP="003100D3">
      <w:pPr>
        <w:keepNext/>
        <w:keepLines/>
        <w:numPr>
          <w:ilvl w:val="0"/>
          <w:numId w:val="9"/>
        </w:numPr>
        <w:tabs>
          <w:tab w:val="num" w:pos="1143"/>
        </w:tabs>
        <w:spacing w:before="40" w:after="0" w:line="276" w:lineRule="auto"/>
        <w:ind w:left="66" w:firstLine="720"/>
        <w:outlineLvl w:val="1"/>
        <w:rPr>
          <w:b/>
          <w:bCs/>
        </w:rPr>
      </w:pPr>
      <w:r w:rsidRPr="003100D3">
        <w:rPr>
          <w:b/>
          <w:bCs/>
        </w:rPr>
        <w:t>Срок оказания услуг технической поддержки</w:t>
      </w:r>
    </w:p>
    <w:p w14:paraId="12DE40F5" w14:textId="77777777" w:rsidR="003100D3" w:rsidRPr="003100D3" w:rsidRDefault="003100D3" w:rsidP="003100D3">
      <w:pPr>
        <w:keepNext/>
        <w:keepLines/>
        <w:numPr>
          <w:ilvl w:val="1"/>
          <w:numId w:val="9"/>
        </w:numPr>
        <w:tabs>
          <w:tab w:val="num" w:pos="1143"/>
        </w:tabs>
        <w:spacing w:before="40" w:after="0" w:line="276" w:lineRule="auto"/>
        <w:ind w:left="567" w:firstLine="218"/>
        <w:jc w:val="both"/>
        <w:outlineLvl w:val="1"/>
      </w:pPr>
      <w:r w:rsidRPr="003100D3">
        <w:t>Срок оказания услуг технической поддержки запрашивается на 36 месяцев с момента заключения Договора.</w:t>
      </w:r>
    </w:p>
    <w:p w14:paraId="736EBC16" w14:textId="77777777" w:rsidR="003100D3" w:rsidRPr="003100D3" w:rsidRDefault="003100D3" w:rsidP="003100D3">
      <w:pPr>
        <w:jc w:val="both"/>
      </w:pPr>
    </w:p>
    <w:p w14:paraId="7A3283F6" w14:textId="77777777" w:rsidR="003100D3" w:rsidRPr="003100D3" w:rsidRDefault="003100D3" w:rsidP="003100D3">
      <w:pPr>
        <w:jc w:val="both"/>
      </w:pPr>
      <w:r w:rsidRPr="003100D3">
        <w:lastRenderedPageBreak/>
        <w:t>Соответствие параметров предлагаемого сервиса техническими требованиями Раздела 3.3 ТЗ должно быть отражено в коммерческом продолжении в виде таблицы:</w:t>
      </w:r>
    </w:p>
    <w:p w14:paraId="7EFD6AD3" w14:textId="77777777" w:rsidR="003100D3" w:rsidRPr="003100D3" w:rsidRDefault="003100D3" w:rsidP="003100D3">
      <w:pPr>
        <w:spacing w:after="0"/>
        <w:ind w:left="709" w:firstLine="708"/>
        <w:jc w:val="right"/>
        <w:rPr>
          <w:lang w:val="en-US"/>
        </w:rPr>
      </w:pPr>
      <w:r w:rsidRPr="003100D3">
        <w:t xml:space="preserve">Таблица </w:t>
      </w:r>
      <w:r w:rsidRPr="003100D3">
        <w:rPr>
          <w:lang w:val="en-US"/>
        </w:rPr>
        <w:t>2</w:t>
      </w:r>
    </w:p>
    <w:tbl>
      <w:tblPr>
        <w:tblStyle w:val="1"/>
        <w:tblW w:w="10489" w:type="dxa"/>
        <w:tblInd w:w="-996" w:type="dxa"/>
        <w:tblLook w:val="04A0" w:firstRow="1" w:lastRow="0" w:firstColumn="1" w:lastColumn="0" w:noHBand="0" w:noVBand="1"/>
      </w:tblPr>
      <w:tblGrid>
        <w:gridCol w:w="567"/>
        <w:gridCol w:w="3685"/>
        <w:gridCol w:w="2693"/>
        <w:gridCol w:w="3544"/>
      </w:tblGrid>
      <w:tr w:rsidR="003100D3" w:rsidRPr="003100D3" w14:paraId="22D745E8" w14:textId="77777777" w:rsidTr="005E2E7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799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F7AA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1DC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9404" w14:textId="77777777" w:rsidR="003100D3" w:rsidRPr="003100D3" w:rsidRDefault="003100D3" w:rsidP="0031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D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соответствии или комментарий, разъяснения</w:t>
            </w:r>
          </w:p>
        </w:tc>
      </w:tr>
      <w:tr w:rsidR="003100D3" w:rsidRPr="003100D3" w14:paraId="63F6768D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7B4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6BC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 xml:space="preserve">Интервал приёма запросов на поддержку или заведения заявки на обслуживание по телефону, через  </w:t>
            </w:r>
            <w:proofErr w:type="spellStart"/>
            <w:r w:rsidRPr="003100D3">
              <w:t>web</w:t>
            </w:r>
            <w:proofErr w:type="spellEnd"/>
            <w:r w:rsidRPr="003100D3">
              <w:t xml:space="preserve">-сайт и/или по электронной почте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FC09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В режиме 24х7, в том числе в праздничные и выходные дни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B22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08C11ABE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D8D7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6CDE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Время реакции сервисной службы (начала прямого контакта с Банком) с момента открытия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8CC4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 xml:space="preserve">Не более 1 рабочего часа, </w:t>
            </w:r>
            <w:r w:rsidRPr="003100D3">
              <w:br/>
              <w:t>указать исключения или отличия (если имеются)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3D9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617803D9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9342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992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 xml:space="preserve">Техническая поддержка оборудования, включая </w:t>
            </w:r>
            <w:proofErr w:type="spellStart"/>
            <w:r w:rsidRPr="003100D3">
              <w:t>on-site</w:t>
            </w:r>
            <w:proofErr w:type="spellEnd"/>
            <w:r w:rsidRPr="003100D3">
              <w:t xml:space="preserve"> для критических приоритетов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73C7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Не ниже, чем уровень 9х5, NBD/</w:t>
            </w:r>
            <w:proofErr w:type="spellStart"/>
            <w:r w:rsidRPr="003100D3">
              <w:t>Standard</w:t>
            </w:r>
            <w:proofErr w:type="spellEnd"/>
            <w:r w:rsidRPr="003100D3">
              <w:t xml:space="preserve"> (указать уровень)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5AF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7D3CE9DC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7D8A" w14:textId="77777777" w:rsidR="003100D3" w:rsidRPr="003100D3" w:rsidRDefault="003100D3" w:rsidP="003100D3">
            <w:pPr>
              <w:numPr>
                <w:ilvl w:val="0"/>
                <w:numId w:val="7"/>
              </w:numPr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EB94" w14:textId="77777777" w:rsidR="003100D3" w:rsidRPr="003100D3" w:rsidRDefault="003100D3" w:rsidP="003100D3">
            <w:r w:rsidRPr="003100D3">
              <w:t>Целевое время решения (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) для запросов на устранение сбоев аппаратного обеспечения серверов с критическим приоритетом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5B72" w14:textId="77777777" w:rsidR="003100D3" w:rsidRPr="003100D3" w:rsidRDefault="003100D3" w:rsidP="003100D3">
            <w:r w:rsidRPr="003100D3">
              <w:t>Не более 2-х суток,</w:t>
            </w:r>
            <w:r w:rsidRPr="003100D3">
              <w:br/>
              <w:t>указать исключения или отличия (если имеются)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D3F" w14:textId="77777777" w:rsidR="003100D3" w:rsidRPr="003100D3" w:rsidRDefault="003100D3" w:rsidP="003100D3"/>
        </w:tc>
      </w:tr>
      <w:tr w:rsidR="003100D3" w:rsidRPr="003100D3" w14:paraId="276AD786" w14:textId="77777777" w:rsidTr="005E2E78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66B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1655" w14:textId="77777777" w:rsidR="003100D3" w:rsidRPr="003100D3" w:rsidRDefault="003100D3" w:rsidP="003100D3">
            <w:r w:rsidRPr="003100D3">
              <w:t>Целевое время решения для запросов иных, кроме критических, приоритетов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54F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Предоставить описание (матрицу)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069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14677E5D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F2E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56D7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Бесплатная замена неисправных компонентов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264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738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54481119" w14:textId="77777777" w:rsidTr="005E2E78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8B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AD11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Возможность невозврата сбойных дисков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72F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Наличие, где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008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7278154C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BCC7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102E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 собственного сервисного склада Партнёра или доступ к сервисным складам Производителя для оперативной доставки компонентов в сроки, определённые «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882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Наличие (при отсутствии – указать явно)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08C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  <w:tr w:rsidR="003100D3" w:rsidRPr="003100D3" w14:paraId="542F4A73" w14:textId="77777777" w:rsidTr="005E2E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7AB" w14:textId="77777777" w:rsidR="003100D3" w:rsidRPr="003100D3" w:rsidRDefault="003100D3" w:rsidP="003100D3">
            <w:pPr>
              <w:numPr>
                <w:ilvl w:val="0"/>
                <w:numId w:val="7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3B1" w14:textId="77777777" w:rsidR="003100D3" w:rsidRPr="003100D3" w:rsidRDefault="003100D3" w:rsidP="003100D3">
            <w:r w:rsidRPr="003100D3">
              <w:t>Замена неисправных компонентов должна осуществляться оригинальными комплектующими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BC75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  <w:r w:rsidRPr="003100D3">
              <w:t>Соблюдается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892" w14:textId="77777777" w:rsidR="003100D3" w:rsidRPr="003100D3" w:rsidRDefault="003100D3" w:rsidP="003100D3">
            <w:pPr>
              <w:tabs>
                <w:tab w:val="left" w:pos="708"/>
              </w:tabs>
              <w:contextualSpacing/>
            </w:pPr>
          </w:p>
        </w:tc>
      </w:tr>
    </w:tbl>
    <w:p w14:paraId="35480D92" w14:textId="77777777" w:rsidR="003100D3" w:rsidRPr="003100D3" w:rsidRDefault="003100D3" w:rsidP="003100D3">
      <w:pPr>
        <w:ind w:left="360"/>
      </w:pPr>
    </w:p>
    <w:p w14:paraId="12568B2F" w14:textId="551696BA" w:rsidR="006976A5" w:rsidRPr="003100D3" w:rsidRDefault="006976A5" w:rsidP="003100D3"/>
    <w:sectPr w:rsidR="006976A5" w:rsidRPr="0031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06FBB0"/>
    <w:lvl w:ilvl="0">
      <w:start w:val="1"/>
      <w:numFmt w:val="bullet"/>
      <w:pStyle w:val="a"/>
      <w:lvlText w:val=""/>
      <w:lvlJc w:val="left"/>
      <w:pPr>
        <w:tabs>
          <w:tab w:val="num" w:pos="1143"/>
        </w:tabs>
        <w:ind w:left="66" w:firstLine="72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4217C38"/>
    <w:multiLevelType w:val="multilevel"/>
    <w:tmpl w:val="AC720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F56213"/>
    <w:multiLevelType w:val="multilevel"/>
    <w:tmpl w:val="67EAF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1578F"/>
    <w:multiLevelType w:val="multilevel"/>
    <w:tmpl w:val="67EAF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6A1541"/>
    <w:multiLevelType w:val="multilevel"/>
    <w:tmpl w:val="3094F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5" w15:restartNumberingAfterBreak="0">
    <w:nsid w:val="2A275767"/>
    <w:multiLevelType w:val="hybridMultilevel"/>
    <w:tmpl w:val="FE24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5532D"/>
    <w:multiLevelType w:val="multilevel"/>
    <w:tmpl w:val="6D1AF0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A5053F0"/>
    <w:multiLevelType w:val="multilevel"/>
    <w:tmpl w:val="E4BEF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6B108E"/>
    <w:multiLevelType w:val="hybridMultilevel"/>
    <w:tmpl w:val="A092A8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29D781E"/>
    <w:multiLevelType w:val="multilevel"/>
    <w:tmpl w:val="D534DD2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10" w15:restartNumberingAfterBreak="0">
    <w:nsid w:val="65716450"/>
    <w:multiLevelType w:val="hybridMultilevel"/>
    <w:tmpl w:val="FE24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FF3E00"/>
    <w:multiLevelType w:val="multilevel"/>
    <w:tmpl w:val="83B67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2"/>
    <w:rsid w:val="000616B5"/>
    <w:rsid w:val="000C64A4"/>
    <w:rsid w:val="000E4C08"/>
    <w:rsid w:val="000E782C"/>
    <w:rsid w:val="001500A2"/>
    <w:rsid w:val="00292356"/>
    <w:rsid w:val="002A655E"/>
    <w:rsid w:val="002E300D"/>
    <w:rsid w:val="003100D3"/>
    <w:rsid w:val="00311CBB"/>
    <w:rsid w:val="003D769D"/>
    <w:rsid w:val="00594C5C"/>
    <w:rsid w:val="005A0092"/>
    <w:rsid w:val="005A0249"/>
    <w:rsid w:val="005B50E4"/>
    <w:rsid w:val="005D6998"/>
    <w:rsid w:val="00623BB9"/>
    <w:rsid w:val="00654134"/>
    <w:rsid w:val="006976A5"/>
    <w:rsid w:val="006A7C63"/>
    <w:rsid w:val="007C36D4"/>
    <w:rsid w:val="007D49C3"/>
    <w:rsid w:val="007E0133"/>
    <w:rsid w:val="00A31B9A"/>
    <w:rsid w:val="00B109B1"/>
    <w:rsid w:val="00C80BFE"/>
    <w:rsid w:val="00C9532F"/>
    <w:rsid w:val="00CA62E5"/>
    <w:rsid w:val="00CC0A35"/>
    <w:rsid w:val="00D1454A"/>
    <w:rsid w:val="00DD06EA"/>
    <w:rsid w:val="00EB083B"/>
    <w:rsid w:val="00EC7853"/>
    <w:rsid w:val="00F17151"/>
    <w:rsid w:val="00F208BE"/>
    <w:rsid w:val="00F21C8C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38F1"/>
  <w15:chartTrackingRefBased/>
  <w15:docId w15:val="{FABFA745-1C22-4373-B60A-94114C3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aliases w:val="H2,h2"/>
    <w:basedOn w:val="a0"/>
    <w:next w:val="a0"/>
    <w:link w:val="20"/>
    <w:uiPriority w:val="9"/>
    <w:unhideWhenUsed/>
    <w:qFormat/>
    <w:rsid w:val="00292356"/>
    <w:pPr>
      <w:keepNext/>
      <w:keepLines/>
      <w:spacing w:before="40" w:after="0" w:line="256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0"/>
    <w:link w:val="a5"/>
    <w:uiPriority w:val="1"/>
    <w:qFormat/>
    <w:rsid w:val="005A0092"/>
    <w:pPr>
      <w:ind w:left="720"/>
      <w:contextualSpacing/>
    </w:pPr>
  </w:style>
  <w:style w:type="character" w:customStyle="1" w:styleId="20">
    <w:name w:val="Заголовок 2 Знак"/>
    <w:aliases w:val="H2 Знак,h2 Знак"/>
    <w:basedOn w:val="a1"/>
    <w:link w:val="2"/>
    <w:uiPriority w:val="9"/>
    <w:rsid w:val="00292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292356"/>
    <w:pPr>
      <w:numPr>
        <w:numId w:val="2"/>
      </w:numPr>
      <w:spacing w:after="120" w:line="288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1"/>
    <w:locked/>
    <w:rsid w:val="00292356"/>
  </w:style>
  <w:style w:type="table" w:styleId="a6">
    <w:name w:val="Table Grid"/>
    <w:basedOn w:val="a2"/>
    <w:uiPriority w:val="39"/>
    <w:rsid w:val="00292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3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Черняткин</dc:creator>
  <cp:keywords/>
  <dc:description/>
  <cp:lastModifiedBy>Vladimir Momot</cp:lastModifiedBy>
  <cp:revision>24</cp:revision>
  <dcterms:created xsi:type="dcterms:W3CDTF">2023-05-24T20:59:00Z</dcterms:created>
  <dcterms:modified xsi:type="dcterms:W3CDTF">2024-05-22T05:44:00Z</dcterms:modified>
</cp:coreProperties>
</file>