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6"/>
        <w:gridCol w:w="4766"/>
      </w:tblGrid>
      <w:tr w:rsidR="00D75994" w:rsidRPr="003B0BF0" w:rsidTr="00D75994">
        <w:trPr>
          <w:trHeight w:hRule="exact" w:val="284"/>
        </w:trPr>
        <w:tc>
          <w:tcPr>
            <w:tcW w:w="2500" w:type="pct"/>
            <w:tcMar>
              <w:left w:w="0" w:type="dxa"/>
              <w:right w:w="0" w:type="dxa"/>
            </w:tcMar>
          </w:tcPr>
          <w:p w:rsidR="00D75994" w:rsidRPr="003B0BF0" w:rsidRDefault="00D75994" w:rsidP="007C00D4">
            <w:pPr>
              <w:pStyle w:val="af3"/>
              <w:rPr>
                <w:rFonts w:ascii="Times New Roman" w:hAnsi="Times New Roman"/>
                <w:b w:val="0"/>
                <w:szCs w:val="20"/>
              </w:rPr>
            </w:pPr>
            <w:r w:rsidRPr="003B0BF0">
              <w:rPr>
                <w:rFonts w:ascii="Times New Roman" w:hAnsi="Times New Roman"/>
                <w:b w:val="0"/>
                <w:szCs w:val="20"/>
              </w:rPr>
              <w:t xml:space="preserve">ООО «Капитал </w:t>
            </w:r>
            <w:proofErr w:type="spellStart"/>
            <w:r w:rsidRPr="003B0BF0">
              <w:rPr>
                <w:rFonts w:ascii="Times New Roman" w:hAnsi="Times New Roman"/>
                <w:b w:val="0"/>
                <w:szCs w:val="20"/>
              </w:rPr>
              <w:t>Лайф</w:t>
            </w:r>
            <w:proofErr w:type="spellEnd"/>
            <w:r w:rsidRPr="003B0BF0">
              <w:rPr>
                <w:rFonts w:ascii="Times New Roman" w:hAnsi="Times New Roman"/>
                <w:b w:val="0"/>
                <w:szCs w:val="20"/>
              </w:rPr>
              <w:t xml:space="preserve"> Страхование Жизни»</w:t>
            </w:r>
          </w:p>
        </w:tc>
        <w:tc>
          <w:tcPr>
            <w:tcW w:w="2500" w:type="pct"/>
          </w:tcPr>
          <w:p w:rsidR="00D75994" w:rsidRPr="003B0BF0" w:rsidRDefault="00411F64" w:rsidP="00411F64">
            <w:pPr>
              <w:pStyle w:val="af3"/>
              <w:jc w:val="right"/>
              <w:rPr>
                <w:rFonts w:ascii="Times New Roman" w:hAnsi="Times New Roman"/>
                <w:szCs w:val="20"/>
              </w:rPr>
            </w:pPr>
            <w:r w:rsidRPr="003B0BF0">
              <w:rPr>
                <w:rFonts w:ascii="Times New Roman" w:hAnsi="Times New Roman"/>
                <w:szCs w:val="20"/>
              </w:rPr>
              <w:t>Участникам тендерного отбора</w:t>
            </w: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 xml:space="preserve">115035, г. Москва, </w:t>
            </w:r>
            <w:proofErr w:type="spellStart"/>
            <w:r w:rsidRPr="003B0BF0">
              <w:rPr>
                <w:rFonts w:ascii="Times New Roman" w:hAnsi="Times New Roman"/>
                <w:b w:val="0"/>
                <w:szCs w:val="20"/>
              </w:rPr>
              <w:t>Кадашёвская</w:t>
            </w:r>
            <w:proofErr w:type="spellEnd"/>
            <w:r w:rsidRPr="003B0BF0">
              <w:rPr>
                <w:rFonts w:ascii="Times New Roman" w:hAnsi="Times New Roman"/>
                <w:b w:val="0"/>
                <w:szCs w:val="20"/>
              </w:rPr>
              <w:t xml:space="preserve"> набережная, д.30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Факс: +7 (495) 225-94-38</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lang w:val="en-US"/>
              </w:rPr>
              <w:t>E</w:t>
            </w:r>
            <w:r w:rsidRPr="003B0BF0">
              <w:rPr>
                <w:rFonts w:ascii="Times New Roman" w:hAnsi="Times New Roman"/>
                <w:b w:val="0"/>
                <w:szCs w:val="20"/>
              </w:rPr>
              <w:t>-</w:t>
            </w:r>
            <w:r w:rsidRPr="003B0BF0">
              <w:rPr>
                <w:rFonts w:ascii="Times New Roman" w:hAnsi="Times New Roman"/>
                <w:b w:val="0"/>
                <w:szCs w:val="20"/>
                <w:lang w:val="en-US"/>
              </w:rPr>
              <w:t>mail</w:t>
            </w:r>
            <w:r w:rsidRPr="003B0BF0">
              <w:rPr>
                <w:rFonts w:ascii="Times New Roman" w:hAnsi="Times New Roman"/>
                <w:b w:val="0"/>
                <w:szCs w:val="20"/>
              </w:rPr>
              <w:t xml:space="preserve">: </w:t>
            </w:r>
            <w:proofErr w:type="spellStart"/>
            <w:r w:rsidRPr="003B0BF0">
              <w:rPr>
                <w:rFonts w:ascii="Times New Roman" w:hAnsi="Times New Roman"/>
                <w:b w:val="0"/>
                <w:szCs w:val="20"/>
                <w:lang w:val="en-US"/>
              </w:rPr>
              <w:t>infolife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rgslife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ru</w:t>
            </w:r>
            <w:proofErr w:type="spellEnd"/>
            <w:r w:rsidRPr="003B0BF0">
              <w:rPr>
                <w:rFonts w:ascii="Times New Roman" w:hAnsi="Times New Roman"/>
                <w:b w:val="0"/>
                <w:szCs w:val="20"/>
              </w:rPr>
              <w:tab/>
            </w:r>
            <w:r w:rsidRPr="003B0BF0">
              <w:rPr>
                <w:rFonts w:ascii="Times New Roman" w:hAnsi="Times New Roman"/>
                <w:b w:val="0"/>
                <w:szCs w:val="20"/>
              </w:rPr>
              <w:tab/>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 Факс: +7 (495) 225-94-38</w:t>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FF2737" w:rsidP="007C00D4">
            <w:pPr>
              <w:pStyle w:val="af3"/>
              <w:rPr>
                <w:rFonts w:ascii="Times New Roman" w:hAnsi="Times New Roman"/>
                <w:b w:val="0"/>
                <w:szCs w:val="20"/>
                <w:lang w:val="en-US"/>
              </w:rPr>
            </w:pPr>
            <w:r>
              <w:rPr>
                <w:rFonts w:ascii="Times New Roman" w:hAnsi="Times New Roman"/>
                <w:b w:val="0"/>
                <w:szCs w:val="20"/>
                <w:lang w:val="en-US"/>
              </w:rPr>
              <w:t>tender</w:t>
            </w:r>
            <w:r w:rsidR="00D470FF" w:rsidRPr="003B0BF0">
              <w:rPr>
                <w:rFonts w:ascii="Times New Roman" w:hAnsi="Times New Roman"/>
                <w:b w:val="0"/>
                <w:szCs w:val="20"/>
                <w:lang w:val="en-US"/>
              </w:rPr>
              <w:t>@kaplife.ru</w:t>
            </w:r>
          </w:p>
          <w:p w:rsidR="00D470FF" w:rsidRPr="003B0BF0" w:rsidRDefault="00D470FF" w:rsidP="007C00D4">
            <w:pPr>
              <w:rPr>
                <w:rFonts w:ascii="Times New Roman" w:hAnsi="Times New Roman"/>
                <w:szCs w:val="20"/>
                <w:lang w:val="en-US"/>
              </w:rPr>
            </w:pPr>
          </w:p>
        </w:tc>
        <w:tc>
          <w:tcPr>
            <w:tcW w:w="2500" w:type="pct"/>
          </w:tcPr>
          <w:p w:rsidR="00D470FF" w:rsidRPr="003B0BF0" w:rsidRDefault="00D470FF" w:rsidP="00D470FF">
            <w:pPr>
              <w:jc w:val="right"/>
              <w:rPr>
                <w:rFonts w:ascii="Times New Roman" w:hAnsi="Times New Roman"/>
                <w:szCs w:val="20"/>
                <w:lang w:val="en-US"/>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lang w:val="en-US"/>
              </w:rPr>
            </w:pPr>
            <w:r w:rsidRPr="003B0BF0">
              <w:rPr>
                <w:rFonts w:ascii="Times New Roman" w:hAnsi="Times New Roman"/>
                <w:b w:val="0"/>
                <w:szCs w:val="20"/>
                <w:lang w:val="en-US"/>
              </w:rPr>
              <w:t>KAPLIFE.RU</w:t>
            </w:r>
          </w:p>
        </w:tc>
        <w:tc>
          <w:tcPr>
            <w:tcW w:w="2500" w:type="pct"/>
          </w:tcPr>
          <w:p w:rsidR="00D470FF" w:rsidRPr="003B0BF0" w:rsidRDefault="00D470FF" w:rsidP="007C00D4">
            <w:pPr>
              <w:pStyle w:val="af3"/>
              <w:rPr>
                <w:rFonts w:ascii="Times New Roman" w:hAnsi="Times New Roman"/>
                <w:b w:val="0"/>
                <w:szCs w:val="2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21"/>
        <w:gridCol w:w="4817"/>
      </w:tblGrid>
      <w:tr w:rsidR="001333D8" w:rsidRPr="003B0BF0" w:rsidTr="00417502">
        <w:trPr>
          <w:trHeight w:hRule="exact" w:val="284"/>
        </w:trPr>
        <w:tc>
          <w:tcPr>
            <w:tcW w:w="2501" w:type="pct"/>
            <w:tcMar>
              <w:left w:w="0" w:type="dxa"/>
              <w:right w:w="0" w:type="dxa"/>
            </w:tcMar>
          </w:tcPr>
          <w:p w:rsidR="001333D8" w:rsidRPr="003B0BF0" w:rsidRDefault="001333D8" w:rsidP="001333D8">
            <w:pPr>
              <w:pStyle w:val="af3"/>
              <w:rPr>
                <w:rFonts w:ascii="Times New Roman" w:hAnsi="Times New Roman"/>
                <w:szCs w:val="20"/>
              </w:rPr>
            </w:pPr>
          </w:p>
        </w:tc>
        <w:tc>
          <w:tcPr>
            <w:tcW w:w="2499" w:type="pct"/>
            <w:tcMar>
              <w:left w:w="0" w:type="dxa"/>
              <w:right w:w="0" w:type="dxa"/>
            </w:tcMar>
          </w:tcPr>
          <w:p w:rsidR="001333D8" w:rsidRPr="003B0BF0" w:rsidRDefault="001333D8" w:rsidP="009008BD">
            <w:pPr>
              <w:jc w:val="right"/>
              <w:rPr>
                <w:rFonts w:ascii="Times New Roman" w:hAnsi="Times New Roman"/>
                <w:szCs w:val="20"/>
              </w:rPr>
            </w:pPr>
          </w:p>
        </w:tc>
      </w:tr>
      <w:tr w:rsidR="001333D8" w:rsidRPr="003B0BF0" w:rsidTr="00417502">
        <w:trPr>
          <w:trHeight w:hRule="exact" w:val="284"/>
        </w:trPr>
        <w:tc>
          <w:tcPr>
            <w:tcW w:w="2501" w:type="pct"/>
            <w:tcMar>
              <w:left w:w="0" w:type="dxa"/>
              <w:right w:w="0" w:type="dxa"/>
            </w:tcMar>
          </w:tcPr>
          <w:p w:rsidR="001333D8" w:rsidRPr="003B0BF0" w:rsidRDefault="003B0BF0" w:rsidP="00E51D0A">
            <w:pPr>
              <w:rPr>
                <w:rFonts w:ascii="Times New Roman" w:hAnsi="Times New Roman"/>
                <w:szCs w:val="20"/>
              </w:rPr>
            </w:pPr>
            <w:r w:rsidRPr="003B0BF0">
              <w:rPr>
                <w:rFonts w:ascii="Times New Roman" w:hAnsi="Times New Roman"/>
                <w:szCs w:val="20"/>
              </w:rPr>
              <w:t xml:space="preserve">От </w:t>
            </w:r>
            <w:r w:rsidR="00E12288">
              <w:rPr>
                <w:rFonts w:ascii="Times New Roman" w:hAnsi="Times New Roman"/>
                <w:szCs w:val="20"/>
              </w:rPr>
              <w:t>10</w:t>
            </w:r>
            <w:r w:rsidR="00602EC4">
              <w:rPr>
                <w:rFonts w:ascii="Times New Roman" w:hAnsi="Times New Roman"/>
                <w:szCs w:val="20"/>
              </w:rPr>
              <w:t>.10</w:t>
            </w:r>
            <w:r w:rsidR="00E76C2D">
              <w:rPr>
                <w:rFonts w:ascii="Times New Roman" w:hAnsi="Times New Roman"/>
                <w:szCs w:val="20"/>
              </w:rPr>
              <w:t>.2024</w:t>
            </w:r>
            <w:r w:rsidR="0076468E">
              <w:rPr>
                <w:rFonts w:ascii="Times New Roman" w:hAnsi="Times New Roman"/>
                <w:szCs w:val="20"/>
              </w:rPr>
              <w:t xml:space="preserve"> № </w:t>
            </w:r>
            <w:r w:rsidR="00E12288">
              <w:rPr>
                <w:rFonts w:ascii="Times New Roman" w:hAnsi="Times New Roman"/>
                <w:szCs w:val="20"/>
              </w:rPr>
              <w:t>15</w:t>
            </w:r>
            <w:r w:rsidR="00602EC4">
              <w:rPr>
                <w:rFonts w:ascii="Times New Roman" w:hAnsi="Times New Roman"/>
                <w:szCs w:val="20"/>
              </w:rPr>
              <w:t>9</w:t>
            </w:r>
            <w:r w:rsidR="00FF2737">
              <w:rPr>
                <w:rFonts w:ascii="Times New Roman" w:hAnsi="Times New Roman"/>
                <w:szCs w:val="20"/>
              </w:rPr>
              <w:t>ТК</w:t>
            </w:r>
            <w:r w:rsidR="006D62BB">
              <w:rPr>
                <w:rFonts w:ascii="Times New Roman" w:hAnsi="Times New Roman"/>
                <w:szCs w:val="20"/>
              </w:rPr>
              <w:t>\202</w:t>
            </w:r>
            <w:r w:rsidR="00E76C2D">
              <w:rPr>
                <w:rFonts w:ascii="Times New Roman" w:hAnsi="Times New Roman"/>
                <w:szCs w:val="20"/>
              </w:rPr>
              <w:t>4</w:t>
            </w:r>
            <w:r w:rsidR="006D62BB">
              <w:rPr>
                <w:rFonts w:ascii="Times New Roman" w:hAnsi="Times New Roman"/>
                <w:szCs w:val="20"/>
              </w:rPr>
              <w:t>\1</w:t>
            </w:r>
          </w:p>
        </w:tc>
        <w:tc>
          <w:tcPr>
            <w:tcW w:w="2499" w:type="pct"/>
            <w:tcMar>
              <w:left w:w="0" w:type="dxa"/>
              <w:right w:w="0" w:type="dxa"/>
            </w:tcMar>
          </w:tcPr>
          <w:p w:rsidR="001333D8" w:rsidRPr="003B0BF0" w:rsidRDefault="001333D8" w:rsidP="00D470FF">
            <w:pPr>
              <w:jc w:val="right"/>
              <w:rPr>
                <w:rFonts w:ascii="Times New Roman" w:hAnsi="Times New Roman"/>
                <w:szCs w:val="20"/>
              </w:rPr>
            </w:pPr>
          </w:p>
        </w:tc>
      </w:tr>
      <w:tr w:rsidR="009008BD" w:rsidRPr="003B0BF0" w:rsidTr="00417502">
        <w:trPr>
          <w:trHeight w:hRule="exact" w:val="284"/>
        </w:trPr>
        <w:tc>
          <w:tcPr>
            <w:tcW w:w="2501" w:type="pct"/>
            <w:tcMar>
              <w:left w:w="0" w:type="dxa"/>
              <w:right w:w="0" w:type="dxa"/>
            </w:tcMar>
          </w:tcPr>
          <w:p w:rsidR="009008BD" w:rsidRPr="006D62BB" w:rsidRDefault="009008BD" w:rsidP="00D470FF">
            <w:pPr>
              <w:rPr>
                <w:rFonts w:ascii="Times New Roman" w:hAnsi="Times New Roman"/>
                <w:sz w:val="24"/>
                <w:szCs w:val="24"/>
              </w:rPr>
            </w:pPr>
          </w:p>
        </w:tc>
        <w:tc>
          <w:tcPr>
            <w:tcW w:w="2499" w:type="pct"/>
            <w:tcMar>
              <w:left w:w="0" w:type="dxa"/>
              <w:right w:w="0" w:type="dxa"/>
            </w:tcMar>
          </w:tcPr>
          <w:p w:rsidR="009008BD" w:rsidRPr="003B0BF0" w:rsidRDefault="009008BD" w:rsidP="001333D8">
            <w:pPr>
              <w:jc w:val="right"/>
              <w:rPr>
                <w:rFonts w:ascii="Times New Roman" w:hAnsi="Times New Roman"/>
                <w:sz w:val="24"/>
                <w:szCs w:val="24"/>
              </w:rPr>
            </w:pPr>
          </w:p>
        </w:tc>
      </w:tr>
      <w:tr w:rsidR="00D75994" w:rsidRPr="003B0BF0" w:rsidTr="00417502">
        <w:trPr>
          <w:trHeight w:hRule="exact" w:val="284"/>
        </w:trPr>
        <w:tc>
          <w:tcPr>
            <w:tcW w:w="2501" w:type="pct"/>
            <w:tcMar>
              <w:left w:w="0" w:type="dxa"/>
              <w:right w:w="0" w:type="dxa"/>
            </w:tcMar>
          </w:tcPr>
          <w:p w:rsidR="00D75994" w:rsidRPr="003B0BF0" w:rsidRDefault="00D75994">
            <w:pPr>
              <w:pStyle w:val="a8"/>
              <w:rPr>
                <w:rFonts w:ascii="Times New Roman" w:hAnsi="Times New Roman"/>
                <w:b/>
                <w:sz w:val="24"/>
                <w:szCs w:val="24"/>
              </w:rPr>
            </w:pPr>
          </w:p>
        </w:tc>
        <w:tc>
          <w:tcPr>
            <w:tcW w:w="2499" w:type="pct"/>
            <w:tcMar>
              <w:left w:w="0" w:type="dxa"/>
              <w:right w:w="0" w:type="dxa"/>
            </w:tcMar>
          </w:tcPr>
          <w:p w:rsidR="00D75994" w:rsidRPr="003B0BF0" w:rsidRDefault="00D75994" w:rsidP="001333D8">
            <w:pPr>
              <w:jc w:val="right"/>
              <w:rPr>
                <w:rFonts w:ascii="Times New Roman" w:hAnsi="Times New Roman"/>
                <w:sz w:val="24"/>
                <w:szCs w:val="24"/>
              </w:rPr>
            </w:pPr>
          </w:p>
        </w:tc>
      </w:tr>
    </w:tbl>
    <w:p w:rsidR="00D470FF" w:rsidRPr="003B0BF0" w:rsidRDefault="00D470FF" w:rsidP="00417502">
      <w:pPr>
        <w:rPr>
          <w:rFonts w:ascii="Times New Roman" w:hAnsi="Times New Roman"/>
          <w:sz w:val="24"/>
          <w:szCs w:val="24"/>
        </w:rPr>
      </w:pPr>
    </w:p>
    <w:p w:rsidR="00EC31D0" w:rsidRPr="003B0BF0" w:rsidRDefault="00EC31D0" w:rsidP="00EC31D0">
      <w:pPr>
        <w:ind w:firstLine="284"/>
        <w:rPr>
          <w:rFonts w:ascii="Times New Roman" w:hAnsi="Times New Roman"/>
          <w:sz w:val="24"/>
          <w:szCs w:val="24"/>
          <w:lang w:eastAsia="ru-RU"/>
        </w:rPr>
      </w:pPr>
    </w:p>
    <w:p w:rsidR="00BF3744" w:rsidRPr="004F6FB6" w:rsidRDefault="00BF3744" w:rsidP="004F6FB6">
      <w:pPr>
        <w:jc w:val="center"/>
        <w:rPr>
          <w:rFonts w:ascii="Times New Roman" w:hAnsi="Times New Roman"/>
          <w:b/>
          <w:sz w:val="24"/>
          <w:szCs w:val="24"/>
        </w:rPr>
      </w:pPr>
      <w:r w:rsidRPr="003B0BF0">
        <w:rPr>
          <w:rFonts w:ascii="Times New Roman" w:hAnsi="Times New Roman"/>
          <w:b/>
          <w:sz w:val="24"/>
          <w:szCs w:val="24"/>
        </w:rPr>
        <w:t xml:space="preserve">ИЗВЕЩЕНИЕ О ПРОВЕДЕНИИ ТЕНДЕРА (№ </w:t>
      </w:r>
      <w:r w:rsidR="00E12288">
        <w:rPr>
          <w:rFonts w:ascii="Times New Roman" w:hAnsi="Times New Roman"/>
          <w:b/>
          <w:sz w:val="24"/>
          <w:szCs w:val="24"/>
        </w:rPr>
        <w:t>15</w:t>
      </w:r>
      <w:r w:rsidR="00602EC4">
        <w:rPr>
          <w:rFonts w:ascii="Times New Roman" w:hAnsi="Times New Roman"/>
          <w:b/>
          <w:sz w:val="24"/>
          <w:szCs w:val="24"/>
        </w:rPr>
        <w:t>9</w:t>
      </w:r>
      <w:r w:rsidR="006D62BB">
        <w:rPr>
          <w:rFonts w:ascii="Times New Roman" w:hAnsi="Times New Roman"/>
          <w:b/>
          <w:sz w:val="24"/>
          <w:szCs w:val="24"/>
        </w:rPr>
        <w:t>\202</w:t>
      </w:r>
      <w:r w:rsidR="00E76C2D">
        <w:rPr>
          <w:rFonts w:ascii="Times New Roman" w:hAnsi="Times New Roman"/>
          <w:b/>
          <w:sz w:val="24"/>
          <w:szCs w:val="24"/>
        </w:rPr>
        <w:t>4</w:t>
      </w:r>
      <w:r w:rsidR="006D62BB">
        <w:rPr>
          <w:rFonts w:ascii="Times New Roman" w:hAnsi="Times New Roman"/>
          <w:b/>
          <w:sz w:val="24"/>
          <w:szCs w:val="24"/>
        </w:rPr>
        <w:t>\1</w:t>
      </w:r>
      <w:r w:rsidRPr="003B0BF0">
        <w:rPr>
          <w:rFonts w:ascii="Times New Roman" w:hAnsi="Times New Roman"/>
          <w:b/>
          <w:sz w:val="24"/>
          <w:szCs w:val="24"/>
        </w:rPr>
        <w:t>)</w:t>
      </w:r>
    </w:p>
    <w:p w:rsidR="00246133"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 xml:space="preserve">ООО "Капитал </w:t>
      </w:r>
      <w:proofErr w:type="spellStart"/>
      <w:r w:rsidRPr="003B0BF0">
        <w:rPr>
          <w:rFonts w:ascii="Times New Roman" w:hAnsi="Times New Roman"/>
          <w:sz w:val="24"/>
          <w:szCs w:val="24"/>
        </w:rPr>
        <w:t>Лайф</w:t>
      </w:r>
      <w:proofErr w:type="spellEnd"/>
      <w:r w:rsidRPr="003B0BF0">
        <w:rPr>
          <w:rFonts w:ascii="Times New Roman" w:hAnsi="Times New Roman"/>
          <w:sz w:val="24"/>
          <w:szCs w:val="24"/>
        </w:rPr>
        <w:t xml:space="preserve"> Страхование Жизни" сообщает о начале проведения тендера </w:t>
      </w:r>
      <w:r w:rsidR="00B57E61">
        <w:rPr>
          <w:rFonts w:ascii="Times New Roman" w:hAnsi="Times New Roman"/>
          <w:sz w:val="24"/>
          <w:szCs w:val="24"/>
        </w:rPr>
        <w:t>по выбору поставщика у</w:t>
      </w:r>
      <w:r w:rsidR="003B7DF8" w:rsidRPr="003B7DF8">
        <w:rPr>
          <w:rFonts w:ascii="Times New Roman" w:hAnsi="Times New Roman"/>
          <w:sz w:val="24"/>
          <w:szCs w:val="24"/>
        </w:rPr>
        <w:t xml:space="preserve">слуг </w:t>
      </w:r>
      <w:r w:rsidR="00602EC4">
        <w:rPr>
          <w:rFonts w:ascii="Times New Roman" w:hAnsi="Times New Roman"/>
          <w:sz w:val="24"/>
          <w:szCs w:val="24"/>
        </w:rPr>
        <w:t>по</w:t>
      </w:r>
      <w:r w:rsidR="00B57E61">
        <w:rPr>
          <w:rFonts w:ascii="Times New Roman" w:hAnsi="Times New Roman"/>
          <w:sz w:val="24"/>
          <w:szCs w:val="24"/>
        </w:rPr>
        <w:t xml:space="preserve"> </w:t>
      </w:r>
      <w:r w:rsidR="00602EC4">
        <w:rPr>
          <w:rFonts w:ascii="Times New Roman" w:hAnsi="Times New Roman"/>
          <w:sz w:val="24"/>
          <w:szCs w:val="24"/>
        </w:rPr>
        <w:t xml:space="preserve">Производству текстильной продукции (толстовок на молнии). </w:t>
      </w:r>
      <w:r w:rsidR="00A61E47">
        <w:rPr>
          <w:rFonts w:ascii="Times New Roman" w:hAnsi="Times New Roman"/>
          <w:sz w:val="24"/>
          <w:szCs w:val="24"/>
        </w:rPr>
        <w:t xml:space="preserve"> </w:t>
      </w:r>
    </w:p>
    <w:p w:rsidR="00BF3744" w:rsidRPr="003B0BF0"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Общие условия участия в тендере</w:t>
      </w:r>
      <w:r w:rsidR="00411F64" w:rsidRPr="003B0BF0">
        <w:rPr>
          <w:rFonts w:ascii="Times New Roman" w:hAnsi="Times New Roman"/>
          <w:sz w:val="24"/>
          <w:szCs w:val="24"/>
        </w:rPr>
        <w:t>:</w:t>
      </w:r>
    </w:p>
    <w:p w:rsidR="00B94F1F" w:rsidRPr="00B94F1F" w:rsidRDefault="00BF3744" w:rsidP="00B94F1F">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Предметом конкурса является наилучшее предложение </w:t>
      </w:r>
      <w:r w:rsidR="00D1120F">
        <w:rPr>
          <w:rFonts w:ascii="Times New Roman" w:hAnsi="Times New Roman"/>
          <w:sz w:val="24"/>
          <w:szCs w:val="24"/>
        </w:rPr>
        <w:t>согласно техническому заданию.</w:t>
      </w:r>
      <w:r w:rsidR="00B94F1F">
        <w:rPr>
          <w:rFonts w:ascii="Times New Roman" w:hAnsi="Times New Roman"/>
          <w:sz w:val="24"/>
          <w:szCs w:val="24"/>
        </w:rPr>
        <w:t xml:space="preserve"> </w:t>
      </w:r>
    </w:p>
    <w:p w:rsidR="00BF3744" w:rsidRPr="003B0BF0" w:rsidRDefault="00D1120F" w:rsidP="00D1120F">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w:t>
      </w:r>
      <w:r w:rsidR="00BF3744" w:rsidRPr="003B0BF0">
        <w:rPr>
          <w:rFonts w:ascii="Times New Roman" w:hAnsi="Times New Roman"/>
          <w:sz w:val="24"/>
          <w:szCs w:val="24"/>
        </w:rPr>
        <w:t>Участники тендера должны удовлетворять следующим требованиям:</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опыт работы в соответствующей области,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отсутствие невыполненных обязательств перед третьими лицами,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w:t>
      </w:r>
      <w:r w:rsidR="00BF3744" w:rsidRPr="003B0BF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B0BF0" w:rsidRPr="003B0BF0" w:rsidRDefault="00BF3744"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3B0BF0" w:rsidRPr="00B57E61" w:rsidRDefault="003B0BF0"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r w:rsidR="00CA5444">
        <w:rPr>
          <w:rFonts w:ascii="Times New Roman" w:hAnsi="Times New Roman"/>
          <w:sz w:val="24"/>
          <w:szCs w:val="24"/>
        </w:rPr>
        <w:t>через ЭТП «</w:t>
      </w:r>
      <w:proofErr w:type="spellStart"/>
      <w:r w:rsidR="00CA5444">
        <w:rPr>
          <w:rFonts w:ascii="Times New Roman" w:hAnsi="Times New Roman"/>
          <w:sz w:val="24"/>
          <w:szCs w:val="24"/>
        </w:rPr>
        <w:t>Росэлторг</w:t>
      </w:r>
      <w:proofErr w:type="spellEnd"/>
      <w:r w:rsidR="00CA5444">
        <w:rPr>
          <w:rFonts w:ascii="Times New Roman" w:hAnsi="Times New Roman"/>
          <w:sz w:val="24"/>
          <w:szCs w:val="24"/>
        </w:rPr>
        <w:t xml:space="preserve"> Бизнес» </w:t>
      </w:r>
      <w:r w:rsidRPr="003B0BF0">
        <w:rPr>
          <w:rFonts w:ascii="Times New Roman" w:hAnsi="Times New Roman"/>
          <w:sz w:val="24"/>
          <w:szCs w:val="24"/>
        </w:rPr>
        <w:t>СТРОГО В УСТАНОВЛ</w:t>
      </w:r>
      <w:r w:rsidR="0076468E">
        <w:rPr>
          <w:rFonts w:ascii="Times New Roman" w:hAnsi="Times New Roman"/>
          <w:sz w:val="24"/>
          <w:szCs w:val="24"/>
        </w:rPr>
        <w:t xml:space="preserve">ЕННОЕ ВРЕМЯ до </w:t>
      </w:r>
      <w:r w:rsidR="00602EC4">
        <w:rPr>
          <w:rFonts w:ascii="Times New Roman" w:hAnsi="Times New Roman"/>
          <w:b/>
          <w:sz w:val="24"/>
          <w:szCs w:val="24"/>
          <w:u w:val="single"/>
        </w:rPr>
        <w:t>17</w:t>
      </w:r>
      <w:r w:rsidR="0076468E" w:rsidRPr="00FF2737">
        <w:rPr>
          <w:rFonts w:ascii="Times New Roman" w:hAnsi="Times New Roman"/>
          <w:b/>
          <w:sz w:val="24"/>
          <w:szCs w:val="24"/>
          <w:u w:val="single"/>
        </w:rPr>
        <w:t xml:space="preserve"> ч. 00 мин. «</w:t>
      </w:r>
      <w:r w:rsidR="00602EC4">
        <w:rPr>
          <w:rFonts w:ascii="Times New Roman" w:hAnsi="Times New Roman"/>
          <w:b/>
          <w:sz w:val="24"/>
          <w:szCs w:val="24"/>
          <w:u w:val="single"/>
        </w:rPr>
        <w:t>24</w:t>
      </w:r>
      <w:r w:rsidR="0076468E" w:rsidRPr="00FF2737">
        <w:rPr>
          <w:rFonts w:ascii="Times New Roman" w:hAnsi="Times New Roman"/>
          <w:b/>
          <w:sz w:val="24"/>
          <w:szCs w:val="24"/>
          <w:u w:val="single"/>
        </w:rPr>
        <w:t xml:space="preserve">» </w:t>
      </w:r>
      <w:r w:rsidR="00602EC4">
        <w:rPr>
          <w:rFonts w:ascii="Times New Roman" w:hAnsi="Times New Roman"/>
          <w:b/>
          <w:sz w:val="24"/>
          <w:szCs w:val="24"/>
          <w:u w:val="single"/>
        </w:rPr>
        <w:t>октября</w:t>
      </w:r>
      <w:r w:rsidR="0076468E" w:rsidRPr="00FF2737">
        <w:rPr>
          <w:rFonts w:ascii="Times New Roman" w:hAnsi="Times New Roman"/>
          <w:b/>
          <w:sz w:val="24"/>
          <w:szCs w:val="24"/>
          <w:u w:val="single"/>
        </w:rPr>
        <w:t xml:space="preserve"> 202</w:t>
      </w:r>
      <w:r w:rsidR="00E76C2D">
        <w:rPr>
          <w:rFonts w:ascii="Times New Roman" w:hAnsi="Times New Roman"/>
          <w:b/>
          <w:sz w:val="24"/>
          <w:szCs w:val="24"/>
          <w:u w:val="single"/>
        </w:rPr>
        <w:t>4</w:t>
      </w:r>
      <w:r w:rsidRPr="00FF2737">
        <w:rPr>
          <w:rFonts w:ascii="Times New Roman" w:hAnsi="Times New Roman"/>
          <w:b/>
          <w:sz w:val="24"/>
          <w:szCs w:val="24"/>
          <w:u w:val="single"/>
        </w:rPr>
        <w:t xml:space="preserve"> года.</w:t>
      </w:r>
    </w:p>
    <w:p w:rsidR="00B57E61" w:rsidRPr="00281FD7" w:rsidRDefault="00B57E61"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b/>
          <w:sz w:val="24"/>
          <w:szCs w:val="24"/>
        </w:rPr>
      </w:pPr>
      <w:r w:rsidRPr="00281FD7">
        <w:rPr>
          <w:rFonts w:ascii="Times New Roman" w:hAnsi="Times New Roman"/>
          <w:b/>
          <w:sz w:val="24"/>
          <w:szCs w:val="24"/>
        </w:rPr>
        <w:t xml:space="preserve">Просьба заполнить файлы: </w:t>
      </w:r>
      <w:r w:rsidR="00281FD7" w:rsidRPr="00281FD7">
        <w:rPr>
          <w:rFonts w:ascii="Times New Roman" w:hAnsi="Times New Roman"/>
          <w:b/>
          <w:sz w:val="24"/>
          <w:szCs w:val="24"/>
        </w:rPr>
        <w:t>Приложение 1 строго по форме.</w:t>
      </w:r>
    </w:p>
    <w:p w:rsidR="00BF3744" w:rsidRPr="003B0BF0" w:rsidRDefault="00BF3744"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Критерии определения Победителя тендера:</w:t>
      </w: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tbl>
      <w:tblPr>
        <w:tblStyle w:val="ab"/>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492"/>
        <w:gridCol w:w="2154"/>
        <w:gridCol w:w="3464"/>
      </w:tblGrid>
      <w:tr w:rsidR="00602EC4" w:rsidRPr="003B0BF0" w:rsidTr="00B1468D">
        <w:trPr>
          <w:trHeight w:val="1235"/>
        </w:trPr>
        <w:tc>
          <w:tcPr>
            <w:tcW w:w="1666" w:type="dxa"/>
            <w:vMerge w:val="restart"/>
            <w:hideMark/>
          </w:tcPr>
          <w:p w:rsidR="00602EC4" w:rsidRDefault="00602EC4" w:rsidP="003B0BF0">
            <w:pPr>
              <w:pStyle w:val="af1"/>
              <w:overflowPunct w:val="0"/>
              <w:autoSpaceDE w:val="0"/>
              <w:autoSpaceDN w:val="0"/>
              <w:adjustRightInd w:val="0"/>
              <w:spacing w:before="120" w:after="120"/>
              <w:jc w:val="center"/>
              <w:rPr>
                <w:rFonts w:ascii="Times New Roman" w:hAnsi="Times New Roman"/>
                <w:b/>
                <w:bCs/>
                <w:sz w:val="24"/>
                <w:szCs w:val="24"/>
              </w:rPr>
            </w:pPr>
          </w:p>
          <w:p w:rsidR="00602EC4" w:rsidRDefault="00602EC4" w:rsidP="003B0BF0">
            <w:pPr>
              <w:pStyle w:val="af1"/>
              <w:overflowPunct w:val="0"/>
              <w:autoSpaceDE w:val="0"/>
              <w:autoSpaceDN w:val="0"/>
              <w:adjustRightInd w:val="0"/>
              <w:spacing w:before="120" w:after="120"/>
              <w:jc w:val="center"/>
              <w:rPr>
                <w:rFonts w:ascii="Times New Roman" w:hAnsi="Times New Roman"/>
                <w:b/>
                <w:bCs/>
                <w:sz w:val="24"/>
                <w:szCs w:val="24"/>
              </w:rPr>
            </w:pPr>
          </w:p>
          <w:p w:rsidR="00602EC4" w:rsidRDefault="00602EC4" w:rsidP="00281FD7">
            <w:pPr>
              <w:pStyle w:val="af1"/>
              <w:overflowPunct w:val="0"/>
              <w:autoSpaceDE w:val="0"/>
              <w:autoSpaceDN w:val="0"/>
              <w:adjustRightInd w:val="0"/>
              <w:spacing w:before="120" w:after="120"/>
              <w:rPr>
                <w:rFonts w:ascii="Times New Roman" w:hAnsi="Times New Roman"/>
                <w:b/>
                <w:bCs/>
                <w:sz w:val="24"/>
                <w:szCs w:val="24"/>
              </w:rPr>
            </w:pPr>
          </w:p>
          <w:p w:rsidR="00602EC4" w:rsidRDefault="00602EC4" w:rsidP="00281FD7">
            <w:pPr>
              <w:pStyle w:val="af1"/>
              <w:overflowPunct w:val="0"/>
              <w:autoSpaceDE w:val="0"/>
              <w:autoSpaceDN w:val="0"/>
              <w:adjustRightInd w:val="0"/>
              <w:spacing w:before="120" w:after="120"/>
              <w:rPr>
                <w:rFonts w:ascii="Times New Roman" w:hAnsi="Times New Roman"/>
                <w:b/>
                <w:bCs/>
                <w:sz w:val="24"/>
                <w:szCs w:val="24"/>
              </w:rPr>
            </w:pPr>
          </w:p>
          <w:p w:rsidR="00602EC4" w:rsidRDefault="00602EC4" w:rsidP="00281FD7">
            <w:pPr>
              <w:pStyle w:val="af1"/>
              <w:overflowPunct w:val="0"/>
              <w:autoSpaceDE w:val="0"/>
              <w:autoSpaceDN w:val="0"/>
              <w:adjustRightInd w:val="0"/>
              <w:spacing w:before="120" w:after="120"/>
              <w:rPr>
                <w:rFonts w:ascii="Times New Roman" w:hAnsi="Times New Roman"/>
                <w:b/>
                <w:bCs/>
                <w:sz w:val="24"/>
                <w:szCs w:val="24"/>
              </w:rPr>
            </w:pPr>
          </w:p>
          <w:p w:rsidR="00602EC4" w:rsidRDefault="00602EC4" w:rsidP="00281FD7">
            <w:pPr>
              <w:pStyle w:val="af1"/>
              <w:overflowPunct w:val="0"/>
              <w:autoSpaceDE w:val="0"/>
              <w:autoSpaceDN w:val="0"/>
              <w:adjustRightInd w:val="0"/>
              <w:spacing w:before="120" w:after="120"/>
              <w:rPr>
                <w:rFonts w:ascii="Times New Roman" w:hAnsi="Times New Roman"/>
                <w:b/>
                <w:bCs/>
                <w:sz w:val="24"/>
                <w:szCs w:val="24"/>
              </w:rPr>
            </w:pPr>
          </w:p>
          <w:p w:rsidR="00602EC4" w:rsidRDefault="00602EC4" w:rsidP="00B1468D">
            <w:pPr>
              <w:pStyle w:val="af1"/>
              <w:overflowPunct w:val="0"/>
              <w:autoSpaceDE w:val="0"/>
              <w:autoSpaceDN w:val="0"/>
              <w:adjustRightInd w:val="0"/>
              <w:spacing w:before="120" w:after="120"/>
              <w:jc w:val="center"/>
              <w:rPr>
                <w:rFonts w:ascii="Times New Roman" w:hAnsi="Times New Roman"/>
                <w:b/>
                <w:bCs/>
                <w:sz w:val="24"/>
                <w:szCs w:val="24"/>
              </w:rPr>
            </w:pPr>
            <w:r w:rsidRPr="003B0BF0">
              <w:rPr>
                <w:rFonts w:ascii="Times New Roman" w:hAnsi="Times New Roman"/>
                <w:b/>
                <w:bCs/>
                <w:sz w:val="24"/>
                <w:szCs w:val="24"/>
              </w:rPr>
              <w:t>Критерии оценки предложений</w:t>
            </w:r>
          </w:p>
          <w:p w:rsidR="00602EC4" w:rsidRPr="00602EC4" w:rsidRDefault="00602EC4" w:rsidP="00602EC4"/>
          <w:p w:rsidR="00602EC4" w:rsidRPr="00602EC4" w:rsidRDefault="00602EC4" w:rsidP="00602EC4"/>
        </w:tc>
        <w:tc>
          <w:tcPr>
            <w:tcW w:w="2492" w:type="dxa"/>
            <w:hideMark/>
          </w:tcPr>
          <w:p w:rsidR="00602EC4" w:rsidRDefault="00602EC4" w:rsidP="003B0BF0">
            <w:pPr>
              <w:pStyle w:val="af1"/>
              <w:overflowPunct w:val="0"/>
              <w:autoSpaceDE w:val="0"/>
              <w:autoSpaceDN w:val="0"/>
              <w:adjustRightInd w:val="0"/>
              <w:spacing w:before="120" w:after="120"/>
              <w:jc w:val="center"/>
              <w:rPr>
                <w:rFonts w:ascii="Times New Roman" w:hAnsi="Times New Roman"/>
                <w:b/>
                <w:sz w:val="24"/>
                <w:szCs w:val="24"/>
              </w:rPr>
            </w:pPr>
          </w:p>
          <w:p w:rsidR="00602EC4" w:rsidRPr="001E745A" w:rsidRDefault="00602EC4" w:rsidP="003B0BF0">
            <w:pPr>
              <w:pStyle w:val="af1"/>
              <w:overflowPunct w:val="0"/>
              <w:autoSpaceDE w:val="0"/>
              <w:autoSpaceDN w:val="0"/>
              <w:adjustRightInd w:val="0"/>
              <w:spacing w:before="120" w:after="120"/>
              <w:jc w:val="center"/>
              <w:rPr>
                <w:rFonts w:ascii="Times New Roman" w:hAnsi="Times New Roman"/>
                <w:b/>
                <w:sz w:val="24"/>
                <w:szCs w:val="24"/>
              </w:rPr>
            </w:pPr>
            <w:r w:rsidRPr="001E745A">
              <w:rPr>
                <w:rFonts w:ascii="Times New Roman" w:hAnsi="Times New Roman"/>
                <w:b/>
                <w:sz w:val="24"/>
                <w:szCs w:val="24"/>
              </w:rPr>
              <w:t>наименование критерия</w:t>
            </w:r>
          </w:p>
        </w:tc>
        <w:tc>
          <w:tcPr>
            <w:tcW w:w="2154" w:type="dxa"/>
            <w:hideMark/>
          </w:tcPr>
          <w:p w:rsidR="00602EC4" w:rsidRDefault="00602EC4" w:rsidP="003B0BF0">
            <w:pPr>
              <w:pStyle w:val="af1"/>
              <w:overflowPunct w:val="0"/>
              <w:autoSpaceDE w:val="0"/>
              <w:autoSpaceDN w:val="0"/>
              <w:adjustRightInd w:val="0"/>
              <w:spacing w:before="120" w:after="120"/>
              <w:jc w:val="center"/>
              <w:rPr>
                <w:rFonts w:ascii="Times New Roman" w:hAnsi="Times New Roman"/>
                <w:b/>
                <w:sz w:val="24"/>
                <w:szCs w:val="24"/>
              </w:rPr>
            </w:pPr>
          </w:p>
          <w:p w:rsidR="00602EC4" w:rsidRPr="001E745A" w:rsidRDefault="00602EC4" w:rsidP="003B0BF0">
            <w:pPr>
              <w:pStyle w:val="af1"/>
              <w:overflowPunct w:val="0"/>
              <w:autoSpaceDE w:val="0"/>
              <w:autoSpaceDN w:val="0"/>
              <w:adjustRightInd w:val="0"/>
              <w:spacing w:before="120" w:after="120"/>
              <w:jc w:val="center"/>
              <w:rPr>
                <w:rFonts w:ascii="Times New Roman" w:hAnsi="Times New Roman"/>
                <w:b/>
                <w:sz w:val="24"/>
                <w:szCs w:val="24"/>
              </w:rPr>
            </w:pPr>
            <w:r w:rsidRPr="001E745A">
              <w:rPr>
                <w:rFonts w:ascii="Times New Roman" w:hAnsi="Times New Roman"/>
                <w:b/>
                <w:sz w:val="24"/>
                <w:szCs w:val="24"/>
              </w:rPr>
              <w:t>вес критерия, %</w:t>
            </w:r>
          </w:p>
        </w:tc>
        <w:tc>
          <w:tcPr>
            <w:tcW w:w="3464" w:type="dxa"/>
            <w:hideMark/>
          </w:tcPr>
          <w:p w:rsidR="00602EC4" w:rsidRDefault="00602EC4" w:rsidP="003B0BF0">
            <w:pPr>
              <w:pStyle w:val="af1"/>
              <w:overflowPunct w:val="0"/>
              <w:autoSpaceDE w:val="0"/>
              <w:autoSpaceDN w:val="0"/>
              <w:adjustRightInd w:val="0"/>
              <w:spacing w:before="120" w:after="120"/>
              <w:jc w:val="center"/>
              <w:rPr>
                <w:rFonts w:ascii="Times New Roman" w:hAnsi="Times New Roman"/>
                <w:b/>
                <w:sz w:val="24"/>
                <w:szCs w:val="24"/>
              </w:rPr>
            </w:pPr>
          </w:p>
          <w:p w:rsidR="00602EC4" w:rsidRPr="001E745A" w:rsidRDefault="00602EC4" w:rsidP="003B0BF0">
            <w:pPr>
              <w:pStyle w:val="af1"/>
              <w:overflowPunct w:val="0"/>
              <w:autoSpaceDE w:val="0"/>
              <w:autoSpaceDN w:val="0"/>
              <w:adjustRightInd w:val="0"/>
              <w:spacing w:before="120" w:after="120"/>
              <w:jc w:val="center"/>
              <w:rPr>
                <w:rFonts w:ascii="Times New Roman" w:hAnsi="Times New Roman"/>
                <w:b/>
                <w:sz w:val="24"/>
                <w:szCs w:val="24"/>
              </w:rPr>
            </w:pPr>
            <w:r w:rsidRPr="001E745A">
              <w:rPr>
                <w:rFonts w:ascii="Times New Roman" w:hAnsi="Times New Roman"/>
                <w:b/>
                <w:sz w:val="24"/>
                <w:szCs w:val="24"/>
              </w:rPr>
              <w:t>комментарии</w:t>
            </w:r>
          </w:p>
        </w:tc>
      </w:tr>
      <w:tr w:rsidR="00602EC4" w:rsidRPr="003B0BF0" w:rsidTr="00656451">
        <w:trPr>
          <w:trHeight w:val="856"/>
        </w:trPr>
        <w:tc>
          <w:tcPr>
            <w:tcW w:w="1666" w:type="dxa"/>
            <w:vMerge/>
          </w:tcPr>
          <w:p w:rsidR="00602EC4" w:rsidRPr="003B0BF0" w:rsidRDefault="00602EC4"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492" w:type="dxa"/>
          </w:tcPr>
          <w:p w:rsidR="00602EC4" w:rsidRDefault="00602EC4" w:rsidP="0042298C">
            <w:pPr>
              <w:pStyle w:val="af1"/>
              <w:overflowPunct w:val="0"/>
              <w:autoSpaceDE w:val="0"/>
              <w:autoSpaceDN w:val="0"/>
              <w:adjustRightInd w:val="0"/>
              <w:spacing w:before="120" w:after="120"/>
              <w:rPr>
                <w:rFonts w:ascii="Times New Roman" w:hAnsi="Times New Roman"/>
                <w:sz w:val="24"/>
                <w:szCs w:val="24"/>
              </w:rPr>
            </w:pPr>
          </w:p>
          <w:p w:rsidR="00602EC4" w:rsidRPr="003B0BF0" w:rsidRDefault="00602EC4" w:rsidP="00D724EC">
            <w:pPr>
              <w:pStyle w:val="af1"/>
              <w:overflowPunct w:val="0"/>
              <w:autoSpaceDE w:val="0"/>
              <w:autoSpaceDN w:val="0"/>
              <w:adjustRightInd w:val="0"/>
              <w:spacing w:before="120" w:after="120"/>
              <w:jc w:val="center"/>
              <w:rPr>
                <w:rFonts w:ascii="Times New Roman" w:hAnsi="Times New Roman"/>
                <w:sz w:val="24"/>
                <w:szCs w:val="24"/>
              </w:rPr>
            </w:pPr>
            <w:r w:rsidRPr="00C15856">
              <w:rPr>
                <w:rFonts w:ascii="Times New Roman" w:hAnsi="Times New Roman"/>
                <w:sz w:val="24"/>
                <w:szCs w:val="24"/>
              </w:rPr>
              <w:t>Цена контракта</w:t>
            </w:r>
          </w:p>
        </w:tc>
        <w:tc>
          <w:tcPr>
            <w:tcW w:w="2154" w:type="dxa"/>
          </w:tcPr>
          <w:p w:rsidR="00602EC4" w:rsidRDefault="00602EC4" w:rsidP="003B0BF0">
            <w:pPr>
              <w:pStyle w:val="af1"/>
              <w:overflowPunct w:val="0"/>
              <w:autoSpaceDE w:val="0"/>
              <w:autoSpaceDN w:val="0"/>
              <w:adjustRightInd w:val="0"/>
              <w:spacing w:before="120" w:after="120"/>
              <w:jc w:val="center"/>
              <w:rPr>
                <w:rFonts w:ascii="Times New Roman" w:hAnsi="Times New Roman"/>
                <w:sz w:val="24"/>
                <w:szCs w:val="24"/>
              </w:rPr>
            </w:pPr>
          </w:p>
          <w:p w:rsidR="00602EC4" w:rsidRDefault="00602EC4" w:rsidP="001E745A">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70%</w:t>
            </w:r>
          </w:p>
          <w:p w:rsidR="00602EC4" w:rsidRDefault="00602EC4" w:rsidP="003B0BF0">
            <w:pPr>
              <w:pStyle w:val="af1"/>
              <w:overflowPunct w:val="0"/>
              <w:autoSpaceDE w:val="0"/>
              <w:autoSpaceDN w:val="0"/>
              <w:adjustRightInd w:val="0"/>
              <w:spacing w:before="120" w:after="120"/>
              <w:jc w:val="center"/>
              <w:rPr>
                <w:rFonts w:ascii="Times New Roman" w:hAnsi="Times New Roman"/>
                <w:sz w:val="24"/>
                <w:szCs w:val="24"/>
              </w:rPr>
            </w:pPr>
          </w:p>
        </w:tc>
        <w:tc>
          <w:tcPr>
            <w:tcW w:w="3464" w:type="dxa"/>
          </w:tcPr>
          <w:p w:rsidR="00602EC4" w:rsidRPr="003B0BF0" w:rsidRDefault="00602EC4" w:rsidP="00602EC4">
            <w:pPr>
              <w:pStyle w:val="af1"/>
              <w:overflowPunct w:val="0"/>
              <w:autoSpaceDE w:val="0"/>
              <w:autoSpaceDN w:val="0"/>
              <w:adjustRightInd w:val="0"/>
              <w:spacing w:before="120" w:after="120"/>
              <w:rPr>
                <w:rFonts w:ascii="Times New Roman" w:hAnsi="Times New Roman"/>
                <w:sz w:val="24"/>
                <w:szCs w:val="24"/>
              </w:rPr>
            </w:pPr>
            <w:r w:rsidRPr="00602EC4">
              <w:rPr>
                <w:rFonts w:ascii="Times New Roman" w:hAnsi="Times New Roman"/>
                <w:sz w:val="24"/>
                <w:szCs w:val="24"/>
              </w:rPr>
              <w:t xml:space="preserve">стоимость общая (цена сигнального </w:t>
            </w:r>
            <w:proofErr w:type="spellStart"/>
            <w:r w:rsidRPr="00602EC4">
              <w:rPr>
                <w:rFonts w:ascii="Times New Roman" w:hAnsi="Times New Roman"/>
                <w:sz w:val="24"/>
                <w:szCs w:val="24"/>
              </w:rPr>
              <w:t>образца+стоимость</w:t>
            </w:r>
            <w:proofErr w:type="spellEnd"/>
            <w:r w:rsidRPr="00602EC4">
              <w:rPr>
                <w:rFonts w:ascii="Times New Roman" w:hAnsi="Times New Roman"/>
                <w:sz w:val="24"/>
                <w:szCs w:val="24"/>
              </w:rPr>
              <w:t xml:space="preserve"> производства всего тиража)</w:t>
            </w:r>
          </w:p>
        </w:tc>
      </w:tr>
      <w:tr w:rsidR="00602EC4" w:rsidRPr="003B0BF0" w:rsidTr="00656451">
        <w:trPr>
          <w:trHeight w:val="856"/>
        </w:trPr>
        <w:tc>
          <w:tcPr>
            <w:tcW w:w="1666" w:type="dxa"/>
            <w:vMerge/>
          </w:tcPr>
          <w:p w:rsidR="00602EC4" w:rsidRPr="003B0BF0" w:rsidRDefault="00602EC4"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492" w:type="dxa"/>
          </w:tcPr>
          <w:p w:rsidR="00602EC4" w:rsidRDefault="00602EC4" w:rsidP="00602EC4">
            <w:pPr>
              <w:pStyle w:val="af1"/>
              <w:overflowPunct w:val="0"/>
              <w:autoSpaceDE w:val="0"/>
              <w:autoSpaceDN w:val="0"/>
              <w:adjustRightInd w:val="0"/>
              <w:spacing w:before="120" w:after="120"/>
              <w:jc w:val="center"/>
              <w:rPr>
                <w:rFonts w:ascii="Times New Roman" w:hAnsi="Times New Roman"/>
                <w:sz w:val="24"/>
                <w:szCs w:val="24"/>
              </w:rPr>
            </w:pPr>
          </w:p>
          <w:p w:rsidR="00602EC4" w:rsidRDefault="00602EC4" w:rsidP="00602EC4">
            <w:pPr>
              <w:pStyle w:val="af1"/>
              <w:overflowPunct w:val="0"/>
              <w:autoSpaceDE w:val="0"/>
              <w:autoSpaceDN w:val="0"/>
              <w:adjustRightInd w:val="0"/>
              <w:spacing w:before="120" w:after="120"/>
              <w:jc w:val="center"/>
              <w:rPr>
                <w:rFonts w:ascii="Times New Roman" w:hAnsi="Times New Roman"/>
                <w:sz w:val="24"/>
                <w:szCs w:val="24"/>
              </w:rPr>
            </w:pPr>
            <w:r w:rsidRPr="00602EC4">
              <w:rPr>
                <w:rFonts w:ascii="Times New Roman" w:hAnsi="Times New Roman"/>
                <w:sz w:val="24"/>
                <w:szCs w:val="24"/>
              </w:rPr>
              <w:t>Качество</w:t>
            </w:r>
          </w:p>
        </w:tc>
        <w:tc>
          <w:tcPr>
            <w:tcW w:w="2154" w:type="dxa"/>
          </w:tcPr>
          <w:p w:rsidR="00602EC4" w:rsidRDefault="00602EC4" w:rsidP="003B0BF0">
            <w:pPr>
              <w:pStyle w:val="af1"/>
              <w:overflowPunct w:val="0"/>
              <w:autoSpaceDE w:val="0"/>
              <w:autoSpaceDN w:val="0"/>
              <w:adjustRightInd w:val="0"/>
              <w:spacing w:before="120" w:after="120"/>
              <w:jc w:val="center"/>
              <w:rPr>
                <w:rFonts w:ascii="Times New Roman" w:hAnsi="Times New Roman"/>
                <w:sz w:val="24"/>
                <w:szCs w:val="24"/>
              </w:rPr>
            </w:pPr>
          </w:p>
          <w:p w:rsidR="00602EC4" w:rsidRDefault="00602EC4"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30%</w:t>
            </w:r>
          </w:p>
        </w:tc>
        <w:tc>
          <w:tcPr>
            <w:tcW w:w="3464" w:type="dxa"/>
          </w:tcPr>
          <w:p w:rsidR="00602EC4" w:rsidRPr="00602EC4" w:rsidRDefault="00602EC4" w:rsidP="00602EC4">
            <w:pPr>
              <w:pStyle w:val="af1"/>
              <w:overflowPunct w:val="0"/>
              <w:autoSpaceDE w:val="0"/>
              <w:autoSpaceDN w:val="0"/>
              <w:adjustRightInd w:val="0"/>
              <w:spacing w:before="120" w:after="120"/>
              <w:rPr>
                <w:rFonts w:ascii="Times New Roman" w:hAnsi="Times New Roman"/>
                <w:sz w:val="24"/>
                <w:szCs w:val="24"/>
              </w:rPr>
            </w:pPr>
            <w:r w:rsidRPr="00602EC4">
              <w:rPr>
                <w:rFonts w:ascii="Times New Roman" w:hAnsi="Times New Roman"/>
                <w:sz w:val="24"/>
                <w:szCs w:val="24"/>
              </w:rPr>
              <w:t>оценка отшитого сигнального образца толстовки на соответствие оригинальному образцу по каталогу</w:t>
            </w:r>
          </w:p>
        </w:tc>
      </w:tr>
    </w:tbl>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BF3744" w:rsidRPr="001E745A" w:rsidRDefault="003B0BF0" w:rsidP="003B0BF0">
      <w:pPr>
        <w:pStyle w:val="af1"/>
        <w:numPr>
          <w:ilvl w:val="1"/>
          <w:numId w:val="19"/>
        </w:numPr>
        <w:overflowPunct w:val="0"/>
        <w:autoSpaceDE w:val="0"/>
        <w:autoSpaceDN w:val="0"/>
        <w:adjustRightInd w:val="0"/>
        <w:spacing w:before="120" w:after="120"/>
        <w:contextualSpacing w:val="0"/>
        <w:jc w:val="both"/>
        <w:rPr>
          <w:rFonts w:ascii="Times New Roman" w:hAnsi="Times New Roman"/>
          <w:b/>
          <w:sz w:val="24"/>
          <w:szCs w:val="24"/>
          <w:u w:val="single"/>
        </w:rPr>
      </w:pPr>
      <w:r w:rsidRPr="001E745A">
        <w:rPr>
          <w:rFonts w:ascii="Times New Roman" w:hAnsi="Times New Roman"/>
          <w:b/>
          <w:sz w:val="24"/>
          <w:szCs w:val="24"/>
        </w:rPr>
        <w:t xml:space="preserve">При возникновении вопросов необходимо адресовать их на </w:t>
      </w:r>
      <w:proofErr w:type="spellStart"/>
      <w:r w:rsidRPr="001E745A">
        <w:rPr>
          <w:rFonts w:ascii="Times New Roman" w:hAnsi="Times New Roman"/>
          <w:b/>
          <w:sz w:val="24"/>
          <w:szCs w:val="24"/>
        </w:rPr>
        <w:t>эл.почту</w:t>
      </w:r>
      <w:proofErr w:type="spellEnd"/>
      <w:r w:rsidRPr="001E745A">
        <w:rPr>
          <w:rFonts w:ascii="Times New Roman" w:hAnsi="Times New Roman"/>
          <w:b/>
          <w:sz w:val="24"/>
          <w:szCs w:val="24"/>
        </w:rPr>
        <w:t xml:space="preserve"> </w:t>
      </w:r>
      <w:r w:rsidRPr="001E745A">
        <w:rPr>
          <w:rFonts w:ascii="Times New Roman" w:hAnsi="Times New Roman"/>
          <w:b/>
          <w:sz w:val="24"/>
          <w:szCs w:val="24"/>
          <w:u w:val="single"/>
        </w:rPr>
        <w:t>tender@kaplife.ru.</w:t>
      </w: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необходимые для оценки параметров, указанных в настоящем Извещении;</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соответствии требованиям, предъявляемым к участникам тендера;</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наличии лицензий, необходимых для выполнения работ;</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Предоставление сведений о наличии в штате Общества работников, аффилированных компаний;</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Указание следующих фактов:</w:t>
      </w:r>
    </w:p>
    <w:p w:rsidR="00BF3744"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является ли участник представителем (агентом) другой компании в данном конкурсе;</w:t>
      </w:r>
    </w:p>
    <w:p w:rsidR="00726F7E"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BF3744" w:rsidRPr="003B0BF0"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Прочие условия</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Срок действия услови</w:t>
      </w:r>
      <w:r w:rsidR="00403F99" w:rsidRPr="003B0BF0">
        <w:rPr>
          <w:rFonts w:ascii="Times New Roman" w:hAnsi="Times New Roman"/>
          <w:sz w:val="24"/>
          <w:szCs w:val="24"/>
        </w:rPr>
        <w:t>й</w:t>
      </w:r>
      <w:r w:rsidRPr="003B0BF0">
        <w:rPr>
          <w:rFonts w:ascii="Times New Roman" w:hAnsi="Times New Roman"/>
          <w:sz w:val="24"/>
          <w:szCs w:val="24"/>
        </w:rPr>
        <w:t xml:space="preserve"> коммерческ</w:t>
      </w:r>
      <w:r w:rsidR="00403F99" w:rsidRPr="003B0BF0">
        <w:rPr>
          <w:rFonts w:ascii="Times New Roman" w:hAnsi="Times New Roman"/>
          <w:sz w:val="24"/>
          <w:szCs w:val="24"/>
        </w:rPr>
        <w:t>ого</w:t>
      </w:r>
      <w:r w:rsidRPr="003B0BF0">
        <w:rPr>
          <w:rFonts w:ascii="Times New Roman" w:hAnsi="Times New Roman"/>
          <w:sz w:val="24"/>
          <w:szCs w:val="24"/>
        </w:rPr>
        <w:t xml:space="preserve"> предложени</w:t>
      </w:r>
      <w:r w:rsidR="00403F99" w:rsidRPr="003B0BF0">
        <w:rPr>
          <w:rFonts w:ascii="Times New Roman" w:hAnsi="Times New Roman"/>
          <w:sz w:val="24"/>
          <w:szCs w:val="24"/>
        </w:rPr>
        <w:t>я</w:t>
      </w:r>
      <w:r w:rsidRPr="003B0BF0">
        <w:rPr>
          <w:rFonts w:ascii="Times New Roman" w:hAnsi="Times New Roman"/>
          <w:sz w:val="24"/>
          <w:szCs w:val="24"/>
        </w:rPr>
        <w:t xml:space="preserve"> </w:t>
      </w:r>
      <w:r w:rsidR="00403F99" w:rsidRPr="003B0BF0">
        <w:rPr>
          <w:rFonts w:ascii="Times New Roman" w:hAnsi="Times New Roman"/>
          <w:sz w:val="24"/>
          <w:szCs w:val="24"/>
        </w:rPr>
        <w:t>- до</w:t>
      </w:r>
      <w:r w:rsidRPr="003B0BF0">
        <w:rPr>
          <w:rFonts w:ascii="Times New Roman" w:hAnsi="Times New Roman"/>
          <w:sz w:val="24"/>
          <w:szCs w:val="24"/>
        </w:rPr>
        <w:t xml:space="preserve"> заключения договора</w:t>
      </w:r>
      <w:r w:rsidR="00403F99" w:rsidRPr="003B0BF0">
        <w:rPr>
          <w:rFonts w:ascii="Times New Roman" w:hAnsi="Times New Roman"/>
          <w:sz w:val="24"/>
          <w:szCs w:val="24"/>
        </w:rPr>
        <w:t>.</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lastRenderedPageBreak/>
        <w:t>Запрос предложений не является конкурсом или аукционом в смысле, предусмотренном Гражданским кодексом Российской Федерации. Проведение этой 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4F6FB6" w:rsidRDefault="00BF3744" w:rsidP="004F6FB6">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233F0B" w:rsidRPr="00FA249E" w:rsidRDefault="00233F0B" w:rsidP="00233F0B">
      <w:pPr>
        <w:pStyle w:val="af1"/>
        <w:overflowPunct w:val="0"/>
        <w:autoSpaceDE w:val="0"/>
        <w:autoSpaceDN w:val="0"/>
        <w:adjustRightInd w:val="0"/>
        <w:spacing w:before="120" w:after="120"/>
        <w:contextualSpacing w:val="0"/>
        <w:jc w:val="both"/>
        <w:rPr>
          <w:rFonts w:ascii="Times New Roman" w:hAnsi="Times New Roman"/>
          <w:sz w:val="24"/>
          <w:szCs w:val="24"/>
        </w:rPr>
      </w:pPr>
    </w:p>
    <w:p w:rsidR="00281FD7" w:rsidRDefault="00403F99" w:rsidP="00F36E0D">
      <w:pPr>
        <w:overflowPunct w:val="0"/>
        <w:autoSpaceDE w:val="0"/>
        <w:autoSpaceDN w:val="0"/>
        <w:adjustRightInd w:val="0"/>
        <w:jc w:val="both"/>
        <w:rPr>
          <w:rFonts w:ascii="Times New Roman" w:hAnsi="Times New Roman"/>
          <w:sz w:val="24"/>
          <w:szCs w:val="24"/>
        </w:rPr>
      </w:pPr>
      <w:r w:rsidRPr="003B0BF0">
        <w:rPr>
          <w:rFonts w:ascii="Times New Roman" w:hAnsi="Times New Roman"/>
          <w:sz w:val="24"/>
          <w:szCs w:val="24"/>
        </w:rPr>
        <w:t xml:space="preserve">Приложение № 1 </w:t>
      </w:r>
      <w:r w:rsidR="006D62BB">
        <w:rPr>
          <w:rFonts w:ascii="Times New Roman" w:hAnsi="Times New Roman"/>
          <w:sz w:val="24"/>
          <w:szCs w:val="24"/>
        </w:rPr>
        <w:t>–</w:t>
      </w:r>
      <w:r w:rsidR="001D1795">
        <w:rPr>
          <w:rFonts w:ascii="Times New Roman" w:hAnsi="Times New Roman"/>
          <w:sz w:val="24"/>
          <w:szCs w:val="24"/>
        </w:rPr>
        <w:t xml:space="preserve"> </w:t>
      </w:r>
      <w:r w:rsidR="00281FD7">
        <w:rPr>
          <w:rFonts w:ascii="Times New Roman" w:hAnsi="Times New Roman"/>
          <w:sz w:val="24"/>
          <w:szCs w:val="24"/>
        </w:rPr>
        <w:t>Заявка на участие</w:t>
      </w:r>
    </w:p>
    <w:p w:rsidR="00281FD7" w:rsidRDefault="00281FD7" w:rsidP="00F36E0D">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Приложение №2 – Техническое задание</w:t>
      </w:r>
    </w:p>
    <w:p w:rsidR="00BF3744" w:rsidRDefault="00281FD7" w:rsidP="00F36E0D">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Приложение №3 – Проект Договора </w:t>
      </w:r>
      <w:r w:rsidR="00A748A0">
        <w:rPr>
          <w:rFonts w:ascii="Times New Roman" w:hAnsi="Times New Roman"/>
          <w:sz w:val="24"/>
          <w:szCs w:val="24"/>
        </w:rPr>
        <w:t xml:space="preserve"> </w:t>
      </w:r>
    </w:p>
    <w:p w:rsidR="00602EC4" w:rsidRDefault="00602EC4" w:rsidP="00F36E0D">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Приложение №4 – Документация закупки</w:t>
      </w:r>
      <w:bookmarkStart w:id="0" w:name="_GoBack"/>
      <w:bookmarkEnd w:id="0"/>
    </w:p>
    <w:p w:rsidR="00403F99" w:rsidRPr="003B0BF0" w:rsidRDefault="00403F99" w:rsidP="00BF3744">
      <w:pPr>
        <w:jc w:val="both"/>
        <w:rPr>
          <w:rFonts w:ascii="Times New Roman" w:hAnsi="Times New Roman"/>
          <w:sz w:val="24"/>
          <w:szCs w:val="24"/>
        </w:rPr>
      </w:pPr>
    </w:p>
    <w:p w:rsidR="00BF3744" w:rsidRPr="003B0BF0" w:rsidRDefault="00BF3744" w:rsidP="00BF3744">
      <w:pPr>
        <w:jc w:val="both"/>
        <w:rPr>
          <w:rFonts w:ascii="Times New Roman" w:hAnsi="Times New Roman"/>
          <w:sz w:val="24"/>
          <w:szCs w:val="24"/>
        </w:rPr>
      </w:pPr>
    </w:p>
    <w:p w:rsidR="003B0BF0" w:rsidRPr="003B0BF0" w:rsidRDefault="003B0BF0" w:rsidP="003B0BF0">
      <w:pPr>
        <w:spacing w:line="360" w:lineRule="auto"/>
        <w:jc w:val="both"/>
        <w:rPr>
          <w:rFonts w:ascii="Times New Roman" w:hAnsi="Times New Roman"/>
          <w:sz w:val="24"/>
          <w:szCs w:val="24"/>
        </w:rPr>
      </w:pPr>
      <w:r w:rsidRPr="003B0BF0">
        <w:rPr>
          <w:rFonts w:ascii="Times New Roman" w:hAnsi="Times New Roman"/>
          <w:b/>
          <w:sz w:val="24"/>
          <w:szCs w:val="24"/>
        </w:rPr>
        <w:t xml:space="preserve">Секретарь Тендерного </w:t>
      </w:r>
      <w:proofErr w:type="gramStart"/>
      <w:r w:rsidRPr="003B0BF0">
        <w:rPr>
          <w:rFonts w:ascii="Times New Roman" w:hAnsi="Times New Roman"/>
          <w:b/>
          <w:sz w:val="24"/>
          <w:szCs w:val="24"/>
        </w:rPr>
        <w:t xml:space="preserve">комитета:   </w:t>
      </w:r>
      <w:proofErr w:type="gramEnd"/>
      <w:r w:rsidRPr="003B0BF0">
        <w:rPr>
          <w:rFonts w:ascii="Times New Roman" w:hAnsi="Times New Roman"/>
          <w:b/>
          <w:sz w:val="24"/>
          <w:szCs w:val="24"/>
        </w:rPr>
        <w:t xml:space="preserve">                 ЭЦП                                   </w:t>
      </w:r>
      <w:r w:rsidR="00CA5444">
        <w:rPr>
          <w:rFonts w:ascii="Times New Roman" w:hAnsi="Times New Roman"/>
          <w:b/>
          <w:sz w:val="24"/>
          <w:szCs w:val="24"/>
        </w:rPr>
        <w:t>Ю.В. Мягкова</w:t>
      </w:r>
    </w:p>
    <w:p w:rsidR="00D470FF" w:rsidRPr="003B0BF0" w:rsidRDefault="00D470FF" w:rsidP="00BF3744">
      <w:pPr>
        <w:jc w:val="both"/>
        <w:rPr>
          <w:rFonts w:ascii="Times New Roman" w:hAnsi="Times New Roman"/>
          <w:sz w:val="24"/>
          <w:szCs w:val="24"/>
        </w:rPr>
      </w:pPr>
    </w:p>
    <w:p w:rsidR="001051E0" w:rsidRPr="003B0BF0" w:rsidRDefault="001051E0" w:rsidP="00417502">
      <w:pPr>
        <w:rPr>
          <w:rFonts w:ascii="Times New Roman" w:hAnsi="Times New Roman"/>
          <w:sz w:val="24"/>
          <w:szCs w:val="24"/>
        </w:rPr>
      </w:pPr>
    </w:p>
    <w:p w:rsidR="001333D8" w:rsidRPr="003B0BF0" w:rsidRDefault="001333D8" w:rsidP="001333D8">
      <w:pPr>
        <w:rPr>
          <w:rFonts w:ascii="Times New Roman" w:hAnsi="Times New Roman"/>
          <w:sz w:val="24"/>
          <w:szCs w:val="24"/>
        </w:rPr>
      </w:pPr>
    </w:p>
    <w:sectPr w:rsidR="001333D8" w:rsidRPr="003B0BF0" w:rsidSect="00E0034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3B" w:rsidRPr="005D4F76" w:rsidRDefault="0045783B" w:rsidP="005D4F76">
      <w:r>
        <w:separator/>
      </w:r>
    </w:p>
  </w:endnote>
  <w:endnote w:type="continuationSeparator" w:id="0">
    <w:p w:rsidR="0045783B" w:rsidRPr="005D4F76" w:rsidRDefault="0045783B"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Исполнитель:</w:t>
    </w:r>
    <w:r w:rsidR="00CA5444">
      <w:t xml:space="preserve"> Мягкова Ю.В.</w:t>
    </w:r>
  </w:p>
  <w:p w:rsidR="002E786C" w:rsidRPr="00EC31D0" w:rsidRDefault="002E786C" w:rsidP="002E786C">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2E786C" w:rsidRPr="002E786C" w:rsidRDefault="002E786C" w:rsidP="002E786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3B" w:rsidRPr="005D4F76" w:rsidRDefault="0045783B" w:rsidP="005D4F76">
      <w:r>
        <w:separator/>
      </w:r>
    </w:p>
  </w:footnote>
  <w:footnote w:type="continuationSeparator" w:id="0">
    <w:p w:rsidR="0045783B" w:rsidRPr="005D4F76" w:rsidRDefault="0045783B"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914"/>
      <w:gridCol w:w="4724"/>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52B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01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C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FCD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6D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206B02"/>
    <w:multiLevelType w:val="hybridMultilevel"/>
    <w:tmpl w:val="72F46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3" w15:restartNumberingAfterBreak="0">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380C8E"/>
    <w:multiLevelType w:val="hybridMultilevel"/>
    <w:tmpl w:val="05084026"/>
    <w:lvl w:ilvl="0" w:tplc="0419000F">
      <w:start w:val="1"/>
      <w:numFmt w:val="decimal"/>
      <w:lvlText w:val="%1."/>
      <w:lvlJc w:val="left"/>
      <w:pPr>
        <w:ind w:left="720" w:hanging="360"/>
      </w:p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7" w15:restartNumberingAfterBreak="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8" w15:restartNumberingAfterBreak="0">
    <w:nsid w:val="54AD44D4"/>
    <w:multiLevelType w:val="multilevel"/>
    <w:tmpl w:val="54046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9"/>
  </w:num>
  <w:num w:numId="18">
    <w:abstractNumId w:val="15"/>
  </w:num>
  <w:num w:numId="19">
    <w:abstractNumId w:val="18"/>
  </w:num>
  <w:num w:numId="20">
    <w:abstractNumId w:val="1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FF"/>
    <w:rsid w:val="0000676D"/>
    <w:rsid w:val="000B1668"/>
    <w:rsid w:val="000B376C"/>
    <w:rsid w:val="000E32B3"/>
    <w:rsid w:val="000F4C20"/>
    <w:rsid w:val="001036E1"/>
    <w:rsid w:val="001051E0"/>
    <w:rsid w:val="00112805"/>
    <w:rsid w:val="0011364A"/>
    <w:rsid w:val="001333D8"/>
    <w:rsid w:val="001407E0"/>
    <w:rsid w:val="00162FFE"/>
    <w:rsid w:val="001D1795"/>
    <w:rsid w:val="001E232F"/>
    <w:rsid w:val="001E745A"/>
    <w:rsid w:val="00211C63"/>
    <w:rsid w:val="00233F0B"/>
    <w:rsid w:val="00246133"/>
    <w:rsid w:val="00260D40"/>
    <w:rsid w:val="00262BB2"/>
    <w:rsid w:val="002678CD"/>
    <w:rsid w:val="00281FD7"/>
    <w:rsid w:val="002943D8"/>
    <w:rsid w:val="00295126"/>
    <w:rsid w:val="002972C1"/>
    <w:rsid w:val="0029748D"/>
    <w:rsid w:val="002E6711"/>
    <w:rsid w:val="002E7387"/>
    <w:rsid w:val="002E786C"/>
    <w:rsid w:val="00305B31"/>
    <w:rsid w:val="00315990"/>
    <w:rsid w:val="00330328"/>
    <w:rsid w:val="00341A9D"/>
    <w:rsid w:val="00342611"/>
    <w:rsid w:val="00355BA7"/>
    <w:rsid w:val="0037391E"/>
    <w:rsid w:val="0037568A"/>
    <w:rsid w:val="0038295E"/>
    <w:rsid w:val="00397E99"/>
    <w:rsid w:val="003B0BF0"/>
    <w:rsid w:val="003B7DF8"/>
    <w:rsid w:val="003C5919"/>
    <w:rsid w:val="00403F99"/>
    <w:rsid w:val="00411F64"/>
    <w:rsid w:val="00413FEA"/>
    <w:rsid w:val="004155EE"/>
    <w:rsid w:val="00417502"/>
    <w:rsid w:val="0042298C"/>
    <w:rsid w:val="0042321A"/>
    <w:rsid w:val="00440007"/>
    <w:rsid w:val="0045783B"/>
    <w:rsid w:val="00457ED4"/>
    <w:rsid w:val="00476673"/>
    <w:rsid w:val="00481E14"/>
    <w:rsid w:val="004B00C3"/>
    <w:rsid w:val="004E6813"/>
    <w:rsid w:val="004F11C3"/>
    <w:rsid w:val="004F2B63"/>
    <w:rsid w:val="004F6ECB"/>
    <w:rsid w:val="004F6FB6"/>
    <w:rsid w:val="005617B4"/>
    <w:rsid w:val="00571D10"/>
    <w:rsid w:val="00584147"/>
    <w:rsid w:val="005D2DD5"/>
    <w:rsid w:val="005D4F76"/>
    <w:rsid w:val="00602DAE"/>
    <w:rsid w:val="00602EC4"/>
    <w:rsid w:val="006147A6"/>
    <w:rsid w:val="00656451"/>
    <w:rsid w:val="006622A1"/>
    <w:rsid w:val="006774AB"/>
    <w:rsid w:val="00694F31"/>
    <w:rsid w:val="0069505E"/>
    <w:rsid w:val="00697A1E"/>
    <w:rsid w:val="006A0EFB"/>
    <w:rsid w:val="006A25F1"/>
    <w:rsid w:val="006B0050"/>
    <w:rsid w:val="006D62BB"/>
    <w:rsid w:val="006E09EF"/>
    <w:rsid w:val="006E2228"/>
    <w:rsid w:val="00726F7E"/>
    <w:rsid w:val="00737081"/>
    <w:rsid w:val="00751F90"/>
    <w:rsid w:val="0076468E"/>
    <w:rsid w:val="00764B99"/>
    <w:rsid w:val="007A60F4"/>
    <w:rsid w:val="007A6B71"/>
    <w:rsid w:val="007D31AD"/>
    <w:rsid w:val="0081088B"/>
    <w:rsid w:val="00846E95"/>
    <w:rsid w:val="008775CA"/>
    <w:rsid w:val="0088717E"/>
    <w:rsid w:val="008D35A4"/>
    <w:rsid w:val="008D6990"/>
    <w:rsid w:val="009008BD"/>
    <w:rsid w:val="009652B8"/>
    <w:rsid w:val="00966192"/>
    <w:rsid w:val="009900B1"/>
    <w:rsid w:val="009A44A1"/>
    <w:rsid w:val="009B12A3"/>
    <w:rsid w:val="009B1D78"/>
    <w:rsid w:val="009B696B"/>
    <w:rsid w:val="009D2CE0"/>
    <w:rsid w:val="00A267A5"/>
    <w:rsid w:val="00A325C3"/>
    <w:rsid w:val="00A61E47"/>
    <w:rsid w:val="00A66AF6"/>
    <w:rsid w:val="00A748A0"/>
    <w:rsid w:val="00A750D6"/>
    <w:rsid w:val="00A82A4F"/>
    <w:rsid w:val="00AA3928"/>
    <w:rsid w:val="00AA7EE4"/>
    <w:rsid w:val="00B00195"/>
    <w:rsid w:val="00B066BC"/>
    <w:rsid w:val="00B1468D"/>
    <w:rsid w:val="00B2064F"/>
    <w:rsid w:val="00B21E6D"/>
    <w:rsid w:val="00B30821"/>
    <w:rsid w:val="00B37AC3"/>
    <w:rsid w:val="00B46CEC"/>
    <w:rsid w:val="00B57E61"/>
    <w:rsid w:val="00B77C35"/>
    <w:rsid w:val="00B94F1F"/>
    <w:rsid w:val="00BD36C8"/>
    <w:rsid w:val="00BD4183"/>
    <w:rsid w:val="00BE0D6A"/>
    <w:rsid w:val="00BE54D8"/>
    <w:rsid w:val="00BF2E41"/>
    <w:rsid w:val="00BF3744"/>
    <w:rsid w:val="00C03419"/>
    <w:rsid w:val="00C15426"/>
    <w:rsid w:val="00C15856"/>
    <w:rsid w:val="00C45EF1"/>
    <w:rsid w:val="00C66438"/>
    <w:rsid w:val="00C674DC"/>
    <w:rsid w:val="00C7574F"/>
    <w:rsid w:val="00CA33FD"/>
    <w:rsid w:val="00CA411D"/>
    <w:rsid w:val="00CA5444"/>
    <w:rsid w:val="00CA6CC9"/>
    <w:rsid w:val="00CC4AA9"/>
    <w:rsid w:val="00CD0D2E"/>
    <w:rsid w:val="00D1120F"/>
    <w:rsid w:val="00D11DB5"/>
    <w:rsid w:val="00D14184"/>
    <w:rsid w:val="00D22E92"/>
    <w:rsid w:val="00D25EC2"/>
    <w:rsid w:val="00D470FF"/>
    <w:rsid w:val="00D61112"/>
    <w:rsid w:val="00D724EC"/>
    <w:rsid w:val="00D75994"/>
    <w:rsid w:val="00D86049"/>
    <w:rsid w:val="00DC0A3E"/>
    <w:rsid w:val="00DD4BEF"/>
    <w:rsid w:val="00DE7DF8"/>
    <w:rsid w:val="00DF49A3"/>
    <w:rsid w:val="00E00343"/>
    <w:rsid w:val="00E03A5B"/>
    <w:rsid w:val="00E12288"/>
    <w:rsid w:val="00E44A2B"/>
    <w:rsid w:val="00E44D7E"/>
    <w:rsid w:val="00E51D0A"/>
    <w:rsid w:val="00E53391"/>
    <w:rsid w:val="00E63BF9"/>
    <w:rsid w:val="00E66A76"/>
    <w:rsid w:val="00E76C2D"/>
    <w:rsid w:val="00E83B49"/>
    <w:rsid w:val="00EA3A7C"/>
    <w:rsid w:val="00EC31D0"/>
    <w:rsid w:val="00EC47F9"/>
    <w:rsid w:val="00F06228"/>
    <w:rsid w:val="00F24830"/>
    <w:rsid w:val="00F36E0D"/>
    <w:rsid w:val="00FA249E"/>
    <w:rsid w:val="00FA64EF"/>
    <w:rsid w:val="00FD1994"/>
    <w:rsid w:val="00FF12A0"/>
    <w:rsid w:val="00FF2737"/>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Borders>
        <w:top w:val="single" w:sz="6" w:space="0" w:color="BF0013"/>
        <w:left w:val="none" w:sz="0" w:space="0" w:color="auto"/>
        <w:bottom w:val="single" w:sz="6" w:space="0" w:color="BF0013"/>
        <w:right w:val="none" w:sz="0" w:space="0" w:color="auto"/>
        <w:insideH w:val="single" w:sz="6" w:space="0" w:color="BF0013"/>
        <w:insideV w:val="single" w:sz="6" w:space="0" w:color="BF0013"/>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Borders>
        <w:top w:val="single" w:sz="8" w:space="0" w:color="FF4F60" w:themeColor="accent3"/>
        <w:bottom w:val="single" w:sz="8" w:space="0" w:color="FF4F60" w:themeColor="accent3"/>
      </w:tblBorders>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Borders>
        <w:top w:val="single" w:sz="8" w:space="0" w:color="A2000F" w:themeColor="accent2"/>
        <w:bottom w:val="single" w:sz="8" w:space="0" w:color="A2000F" w:themeColor="accent2"/>
      </w:tblBorders>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Borders>
        <w:top w:val="single" w:sz="8" w:space="0" w:color="74000B" w:themeColor="accent4"/>
        <w:bottom w:val="single" w:sz="8" w:space="0" w:color="74000B" w:themeColor="accent4"/>
      </w:tblBorders>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 w:id="1682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A2941A-1E42-4411-B022-B1210020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178</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О. Фамилия</dc:creator>
  <cp:lastModifiedBy>Мягкова Юлия Владимировна</cp:lastModifiedBy>
  <cp:revision>44</cp:revision>
  <cp:lastPrinted>2019-01-30T09:36:00Z</cp:lastPrinted>
  <dcterms:created xsi:type="dcterms:W3CDTF">2023-09-07T07:08:00Z</dcterms:created>
  <dcterms:modified xsi:type="dcterms:W3CDTF">2024-10-10T08:38:00Z</dcterms:modified>
</cp:coreProperties>
</file>